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</w:t>
      </w: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  <w:lang w:eastAsia="zh-CN"/>
        </w:rPr>
        <w:t>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售楼部及样板间或接近项目的代表案例（案例概况含位置、面积、楼盘情况、不多于5张的实景效果图或设计效果图），并附上代表案例合同关键证明页，以单独附件形式呈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包含但不局限于本项目的设计总负责人、设计总监（含副总监）、项目经理、方案主创设计师（含软装）、施工图主创设计师，其近三个月社医保的证明材料、专业职称、工作年限及主要业绩项目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pacing w:val="-3"/>
          <w:sz w:val="28"/>
          <w:szCs w:val="28"/>
        </w:rPr>
        <w:t>6、</w:t>
      </w:r>
      <w:r>
        <w:rPr>
          <w:rFonts w:ascii="宋体" w:hAnsi="宋体" w:cs="宋体"/>
          <w:color w:val="FF0000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FF0000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（1正</w:t>
      </w:r>
      <w:r>
        <w:rPr>
          <w:rFonts w:hint="eastAsia" w:ascii="宋体" w:hAnsi="宋体" w:cs="宋体"/>
          <w:bCs/>
          <w:color w:val="FF000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spacing w:after="0" w:line="578" w:lineRule="exact"/>
        <w:ind w:left="0" w:leftChars="0" w:firstLine="0" w:firstLineChars="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3）方案补偿费：第一名：无，第二名：6万，第三名：4万，第四名：</w:t>
      </w:r>
      <w:r>
        <w:rPr>
          <w:rFonts w:hint="eastAsia" w:ascii="宋体" w:hAnsi="宋体" w:cs="宋体"/>
          <w:bCs/>
          <w:sz w:val="28"/>
          <w:szCs w:val="28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万，第五名：2万，第五名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sz w:val="28"/>
          <w:szCs w:val="28"/>
        </w:rPr>
        <w:t>以后：无。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0分钟（含5分钟评委点评提问）。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560" w:firstLineChars="20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840" w:firstLineChars="3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0-11: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11: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E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keepNext w:val="0"/>
              <w:keepLines w:val="0"/>
              <w:pageBreakBefore w:val="0"/>
              <w:tabs>
                <w:tab w:val="left" w:pos="276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比选结果：另行通知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ZjAxM2RlYjMzY2ViYzBmYWY5OTg0YTg1ZWQyZDgifQ=="/>
    <w:docVar w:name="KSO_WPS_MARK_KEY" w:val="c2a3303f-23d5-4f94-992d-aa6b5c2af141"/>
  </w:docVars>
  <w:rsids>
    <w:rsidRoot w:val="786F1B21"/>
    <w:rsid w:val="2DC33DB0"/>
    <w:rsid w:val="305C1D91"/>
    <w:rsid w:val="64873B6E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刘俊伟</cp:lastModifiedBy>
  <dcterms:modified xsi:type="dcterms:W3CDTF">2024-02-02T08:23:59Z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33171989D35B4F85895FCBEA0936F95F_12</vt:lpwstr>
  </property>
</Properties>
</file>