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before="0" w:after="0"/>
        <w:jc w:val="left"/>
        <w:rPr>
          <w:rFonts w:hint="eastAsia" w:ascii="华文细黑" w:hAnsi="华文细黑" w:eastAsia="华文细黑" w:cs="Calibri"/>
          <w:color w:val="023F88"/>
          <w:sz w:val="12"/>
          <w:szCs w:val="12"/>
          <w:lang w:val="en-AU" w:eastAsia="zh-CN"/>
        </w:rPr>
      </w:pPr>
      <w:r>
        <w:rPr>
          <w:rFonts w:ascii="华文细黑" w:hAnsi="华文细黑" w:eastAsia="华文细黑"/>
          <w:sz w:val="22"/>
          <w:szCs w:val="22"/>
        </w:rPr>
        <mc:AlternateContent>
          <mc:Choice Requires="wps">
            <w:drawing>
              <wp:anchor distT="0" distB="0" distL="114300" distR="114300" simplePos="0" relativeHeight="251659264" behindDoc="1" locked="0" layoutInCell="1" allowOverlap="1">
                <wp:simplePos x="0" y="0"/>
                <wp:positionH relativeFrom="column">
                  <wp:posOffset>556895</wp:posOffset>
                </wp:positionH>
                <wp:positionV relativeFrom="paragraph">
                  <wp:posOffset>3395345</wp:posOffset>
                </wp:positionV>
                <wp:extent cx="4781550" cy="1404620"/>
                <wp:effectExtent l="0" t="0" r="19050" b="20320"/>
                <wp:wrapTight wrapText="bothSides">
                  <wp:wrapPolygon>
                    <wp:start x="0" y="0"/>
                    <wp:lineTo x="0" y="21637"/>
                    <wp:lineTo x="21600" y="21637"/>
                    <wp:lineTo x="21600" y="0"/>
                    <wp:lineTo x="0" y="0"/>
                  </wp:wrapPolygon>
                </wp:wrapTight>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781550" cy="1404620"/>
                        </a:xfrm>
                        <a:prstGeom prst="rect">
                          <a:avLst/>
                        </a:prstGeom>
                        <a:solidFill>
                          <a:srgbClr val="FFFFFF"/>
                        </a:solidFill>
                        <a:ln w="9525">
                          <a:solidFill>
                            <a:schemeClr val="bg1"/>
                          </a:solidFill>
                          <a:miter lim="800000"/>
                        </a:ln>
                      </wps:spPr>
                      <wps:txbx>
                        <w:txbxContent>
                          <w:p>
                            <w:pPr>
                              <w:widowControl/>
                              <w:shd w:val="clear" w:color="auto" w:fill="FFFFFF"/>
                              <w:spacing w:line="360" w:lineRule="auto"/>
                              <w:ind w:firstLine="2160" w:firstLineChars="600"/>
                              <w:jc w:val="left"/>
                              <w:rPr>
                                <w:rFonts w:hint="eastAsia" w:ascii="华文细黑" w:hAnsi="华文细黑" w:eastAsia="华文细黑" w:cs="Calibri"/>
                                <w:sz w:val="36"/>
                                <w:szCs w:val="36"/>
                                <w:lang w:eastAsia="zh-CN"/>
                              </w:rPr>
                            </w:pPr>
                            <w:bookmarkStart w:id="30" w:name="_Toc181891182"/>
                            <w:r>
                              <w:rPr>
                                <w:rFonts w:hint="eastAsia" w:ascii="华文细黑" w:hAnsi="华文细黑" w:eastAsia="华文细黑" w:cs="Calibri"/>
                                <w:sz w:val="36"/>
                                <w:szCs w:val="36"/>
                                <w:lang w:val="en-US" w:eastAsia="zh-CN"/>
                              </w:rPr>
                              <w:t>榕发鼓韵公馆</w:t>
                            </w:r>
                            <w:r>
                              <w:rPr>
                                <w:rFonts w:hint="eastAsia" w:ascii="华文细黑" w:hAnsi="华文细黑" w:eastAsia="华文细黑" w:cs="Calibri"/>
                                <w:sz w:val="36"/>
                                <w:szCs w:val="36"/>
                                <w:lang w:eastAsia="zh-CN"/>
                              </w:rPr>
                              <w:t>项目</w:t>
                            </w:r>
                          </w:p>
                          <w:p>
                            <w:pPr>
                              <w:jc w:val="center"/>
                              <w:outlineLvl w:val="0"/>
                              <w:rPr>
                                <w:rFonts w:hint="eastAsia" w:ascii="华文细黑" w:hAnsi="华文细黑" w:eastAsia="华文细黑" w:cs="华文细黑"/>
                                <w:b/>
                                <w:bCs/>
                                <w:color w:val="000000"/>
                                <w:sz w:val="48"/>
                                <w:szCs w:val="48"/>
                                <w:lang w:eastAsia="zh-CN" w:bidi="ar"/>
                              </w:rPr>
                            </w:pPr>
                            <w:r>
                              <w:rPr>
                                <w:rFonts w:hint="eastAsia" w:ascii="华文细黑" w:hAnsi="华文细黑" w:eastAsia="华文细黑" w:cs="Calibri"/>
                                <w:sz w:val="36"/>
                                <w:szCs w:val="36"/>
                                <w:lang w:eastAsia="zh-CN"/>
                              </w:rPr>
                              <w:t>二次深化（栏杆、门窗、幕墙）设计服务合同</w:t>
                            </w:r>
                            <w:bookmarkEnd w:id="30"/>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left:43.85pt;margin-top:267.35pt;height:110.6pt;width:376.5pt;mso-wrap-distance-left:9pt;mso-wrap-distance-right:9pt;z-index:-251657216;mso-width-relative:page;mso-height-relative:page;" fillcolor="#FFFFFF" filled="t" stroked="t" coordsize="21600,21600" wrapcoords="0 0 0 21637 21600 21637 21600 0 0 0" o:gfxdata="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G7AC3toA&#10;AAAKAQAADwAAAAAAAAABACAAAAAiAAAAZHJzL2Rvd25yZXYueG1sUEsBAhQAFAAAAAgAh07iQGiT&#10;DnwdAgAAMAQAAA4AAAAAAAAAAQAgAAAAKQEAAGRycy9lMm9Eb2MueG1sUEsFBgAAAAAGAAYAWQEA&#10;ALgFAAAAAA==&#10;">
                <v:fill on="t" focussize="0,0"/>
                <v:stroke color="#FFFFFF [3212]" miterlimit="8" joinstyle="miter"/>
                <v:imagedata o:title=""/>
                <o:lock v:ext="edit" aspectratio="f"/>
                <v:textbox style="mso-fit-shape-to-text:t;">
                  <w:txbxContent>
                    <w:p>
                      <w:pPr>
                        <w:widowControl/>
                        <w:shd w:val="clear" w:color="auto" w:fill="FFFFFF"/>
                        <w:spacing w:line="360" w:lineRule="auto"/>
                        <w:ind w:firstLine="2160" w:firstLineChars="600"/>
                        <w:jc w:val="left"/>
                        <w:rPr>
                          <w:rFonts w:hint="eastAsia" w:ascii="华文细黑" w:hAnsi="华文细黑" w:eastAsia="华文细黑" w:cs="Calibri"/>
                          <w:sz w:val="36"/>
                          <w:szCs w:val="36"/>
                          <w:lang w:eastAsia="zh-CN"/>
                        </w:rPr>
                      </w:pPr>
                      <w:bookmarkStart w:id="30" w:name="_Toc181891182"/>
                      <w:r>
                        <w:rPr>
                          <w:rFonts w:hint="eastAsia" w:ascii="华文细黑" w:hAnsi="华文细黑" w:eastAsia="华文细黑" w:cs="Calibri"/>
                          <w:sz w:val="36"/>
                          <w:szCs w:val="36"/>
                          <w:lang w:val="en-US" w:eastAsia="zh-CN"/>
                        </w:rPr>
                        <w:t>榕发鼓韵公馆</w:t>
                      </w:r>
                      <w:r>
                        <w:rPr>
                          <w:rFonts w:hint="eastAsia" w:ascii="华文细黑" w:hAnsi="华文细黑" w:eastAsia="华文细黑" w:cs="Calibri"/>
                          <w:sz w:val="36"/>
                          <w:szCs w:val="36"/>
                          <w:lang w:eastAsia="zh-CN"/>
                        </w:rPr>
                        <w:t>项目</w:t>
                      </w:r>
                    </w:p>
                    <w:p>
                      <w:pPr>
                        <w:jc w:val="center"/>
                        <w:outlineLvl w:val="0"/>
                        <w:rPr>
                          <w:rFonts w:hint="eastAsia" w:ascii="华文细黑" w:hAnsi="华文细黑" w:eastAsia="华文细黑" w:cs="华文细黑"/>
                          <w:b/>
                          <w:bCs/>
                          <w:color w:val="000000"/>
                          <w:sz w:val="48"/>
                          <w:szCs w:val="48"/>
                          <w:lang w:eastAsia="zh-CN" w:bidi="ar"/>
                        </w:rPr>
                      </w:pPr>
                      <w:r>
                        <w:rPr>
                          <w:rFonts w:hint="eastAsia" w:ascii="华文细黑" w:hAnsi="华文细黑" w:eastAsia="华文细黑" w:cs="Calibri"/>
                          <w:sz w:val="36"/>
                          <w:szCs w:val="36"/>
                          <w:lang w:eastAsia="zh-CN"/>
                        </w:rPr>
                        <w:t>二次深化（栏杆、门窗、幕墙）设计服务合同</w:t>
                      </w:r>
                      <w:bookmarkEnd w:id="30"/>
                    </w:p>
                  </w:txbxContent>
                </v:textbox>
                <w10:wrap type="tight"/>
              </v:shape>
            </w:pict>
          </mc:Fallback>
        </mc:AlternateContent>
      </w:r>
      <w:r>
        <w:rPr>
          <w:rFonts w:ascii="华文细黑" w:hAnsi="华文细黑" w:eastAsia="华文细黑"/>
          <w:sz w:val="22"/>
          <w:szCs w:val="22"/>
        </w:rPr>
        <w:br w:type="page"/>
      </w:r>
      <w:bookmarkStart w:id="0" w:name="_Toc116470280"/>
      <w:bookmarkStart w:id="1" w:name="_Toc109572943"/>
      <w:bookmarkStart w:id="2" w:name="_Toc109574217"/>
      <w:bookmarkStart w:id="3" w:name="_Toc116473035"/>
      <w:bookmarkStart w:id="4" w:name="_Toc109656432"/>
      <w:bookmarkStart w:id="5" w:name="_Toc116466032"/>
      <w:bookmarkStart w:id="6" w:name="_Toc109574197"/>
      <w:bookmarkStart w:id="7" w:name="_Toc184645924"/>
      <w:bookmarkStart w:id="8" w:name="_Toc116466610"/>
      <w:bookmarkStart w:id="9" w:name="_Toc180747777"/>
      <w:bookmarkStart w:id="10" w:name="_Toc116470325"/>
      <w:bookmarkStart w:id="11" w:name="_Toc116467157"/>
      <w:bookmarkStart w:id="12" w:name="_Toc116470397"/>
      <w:bookmarkStart w:id="13" w:name="_Toc109574177"/>
      <w:bookmarkStart w:id="14" w:name="_Toc116470140"/>
      <w:bookmarkStart w:id="15" w:name="_Toc118275352"/>
      <w:bookmarkStart w:id="16" w:name="_Toc109570399"/>
      <w:bookmarkStart w:id="17" w:name="_Toc116473183"/>
      <w:r>
        <w:rPr>
          <w:rFonts w:hint="eastAsia" w:ascii="华文细黑" w:hAnsi="华文细黑" w:eastAsia="华文细黑" w:cs="宋体"/>
          <w:sz w:val="24"/>
          <w:szCs w:val="24"/>
          <w:lang w:eastAsia="zh-CN"/>
        </w:rPr>
        <mc:AlternateContent>
          <mc:Choice Requires="wps">
            <w:drawing>
              <wp:anchor distT="45720" distB="45720" distL="114300" distR="114300" simplePos="0" relativeHeight="251661312" behindDoc="0" locked="0" layoutInCell="1" allowOverlap="1">
                <wp:simplePos x="0" y="0"/>
                <wp:positionH relativeFrom="column">
                  <wp:posOffset>556895</wp:posOffset>
                </wp:positionH>
                <wp:positionV relativeFrom="paragraph">
                  <wp:posOffset>3476625</wp:posOffset>
                </wp:positionV>
                <wp:extent cx="4740910" cy="1526540"/>
                <wp:effectExtent l="13970" t="9525" r="7620" b="6985"/>
                <wp:wrapSquare wrapText="bothSides"/>
                <wp:docPr id="135665998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740910" cy="1526540"/>
                        </a:xfrm>
                        <a:prstGeom prst="rect">
                          <a:avLst/>
                        </a:prstGeom>
                        <a:solidFill>
                          <a:srgbClr val="FFFFFF"/>
                        </a:solidFill>
                        <a:ln w="9525">
                          <a:solidFill>
                            <a:srgbClr val="FFFFFF"/>
                          </a:solidFill>
                          <a:miter lim="800000"/>
                        </a:ln>
                      </wps:spPr>
                      <wps:txbx>
                        <w:txbxContent>
                          <w:p>
                            <w:pPr>
                              <w:jc w:val="center"/>
                              <w:rPr>
                                <w:rFonts w:hint="eastAsia" w:ascii="华文细黑" w:hAnsi="华文细黑" w:eastAsia="华文细黑" w:cs="Calibri"/>
                                <w:sz w:val="40"/>
                                <w:szCs w:val="40"/>
                                <w:lang w:eastAsia="zh-CN"/>
                              </w:rPr>
                            </w:pPr>
                            <w:r>
                              <w:rPr>
                                <w:rFonts w:hint="eastAsia" w:ascii="华文细黑" w:hAnsi="华文细黑" w:eastAsia="华文细黑" w:cs="Calibri"/>
                                <w:sz w:val="40"/>
                                <w:szCs w:val="40"/>
                                <w:lang w:val="en-US" w:eastAsia="zh-CN"/>
                              </w:rPr>
                              <w:t>榕发鼓韵公馆</w:t>
                            </w:r>
                            <w:r>
                              <w:rPr>
                                <w:rFonts w:hint="eastAsia" w:ascii="华文细黑" w:hAnsi="华文细黑" w:eastAsia="华文细黑" w:cs="Calibri"/>
                                <w:sz w:val="40"/>
                                <w:szCs w:val="40"/>
                                <w:lang w:eastAsia="zh-CN"/>
                              </w:rPr>
                              <w:t>项目</w:t>
                            </w:r>
                          </w:p>
                          <w:p>
                            <w:pPr>
                              <w:jc w:val="center"/>
                              <w:rPr>
                                <w:rFonts w:hint="eastAsia" w:ascii="华文细黑" w:hAnsi="华文细黑" w:eastAsia="华文细黑" w:cs="Calibri"/>
                                <w:sz w:val="40"/>
                                <w:szCs w:val="40"/>
                                <w:lang w:eastAsia="zh-CN"/>
                              </w:rPr>
                            </w:pPr>
                            <w:r>
                              <w:rPr>
                                <w:rFonts w:hint="eastAsia" w:ascii="华文细黑" w:hAnsi="华文细黑" w:eastAsia="华文细黑" w:cs="Calibri"/>
                                <w:sz w:val="40"/>
                                <w:szCs w:val="40"/>
                                <w:lang w:eastAsia="zh-CN"/>
                              </w:rPr>
                              <w:t xml:space="preserve">二次深化（栏杆、门窗、幕墙）设计 </w:t>
                            </w:r>
                          </w:p>
                          <w:p>
                            <w:pPr>
                              <w:jc w:val="center"/>
                              <w:rPr>
                                <w:sz w:val="40"/>
                                <w:szCs w:val="40"/>
                                <w:lang w:eastAsia="zh-CN"/>
                              </w:rPr>
                            </w:pPr>
                            <w:r>
                              <w:rPr>
                                <w:rFonts w:hint="eastAsia" w:ascii="华文细黑" w:hAnsi="华文细黑" w:eastAsia="华文细黑" w:cs="Calibri"/>
                                <w:sz w:val="40"/>
                                <w:szCs w:val="40"/>
                                <w:lang w:eastAsia="zh-CN"/>
                              </w:rPr>
                              <w:t>技术服务</w:t>
                            </w:r>
                            <w:r>
                              <w:rPr>
                                <w:rFonts w:ascii="华文细黑" w:hAnsi="华文细黑" w:eastAsia="华文细黑" w:cs="Calibri"/>
                                <w:sz w:val="40"/>
                                <w:szCs w:val="40"/>
                                <w:lang w:eastAsia="zh-CN"/>
                              </w:rPr>
                              <w:t>服务</w:t>
                            </w:r>
                            <w:r>
                              <w:rPr>
                                <w:rFonts w:hint="eastAsia" w:ascii="华文细黑" w:hAnsi="华文细黑" w:eastAsia="华文细黑" w:cs="Calibri"/>
                                <w:sz w:val="40"/>
                                <w:szCs w:val="40"/>
                                <w:lang w:eastAsia="zh-CN"/>
                              </w:rPr>
                              <w:t>任务</w:t>
                            </w:r>
                            <w:r>
                              <w:rPr>
                                <w:rFonts w:ascii="华文细黑" w:hAnsi="华文细黑" w:eastAsia="华文细黑" w:cs="Calibri"/>
                                <w:sz w:val="40"/>
                                <w:szCs w:val="40"/>
                                <w:lang w:eastAsia="zh-CN"/>
                              </w:rPr>
                              <w:t>书</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43.85pt;margin-top:273.75pt;height:120.2pt;width:373.3pt;mso-wrap-distance-bottom:3.6pt;mso-wrap-distance-left:9pt;mso-wrap-distance-right:9pt;mso-wrap-distance-top:3.6pt;z-index:251661312;mso-width-relative:page;mso-height-relative:margin;mso-height-percent:200;" fillcolor="#FFFFFF" filled="t" stroked="t" coordsize="21600,21600" o:gfxdata="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zLXjGdwAAAAKAQAADwAAAAAAAAABACAAAAAiAAAAZHJzL2Rvd25yZXYueG1sUEsB&#10;AhQAFAAAAAgAh07iQJjTrxAqAgAAQwQAAA4AAAAAAAAAAQAgAAAAKwEAAGRycy9lMm9Eb2MueG1s&#10;UEsFBgAAAAAGAAYAWQEAAMcFAAAAAA==&#10;">
                <v:fill on="t" focussize="0,0"/>
                <v:stroke color="#FFFFFF" miterlimit="8" joinstyle="miter"/>
                <v:imagedata o:title=""/>
                <o:lock v:ext="edit" aspectratio="f"/>
                <v:textbox style="mso-fit-shape-to-text:t;">
                  <w:txbxContent>
                    <w:p>
                      <w:pPr>
                        <w:jc w:val="center"/>
                        <w:rPr>
                          <w:rFonts w:hint="eastAsia" w:ascii="华文细黑" w:hAnsi="华文细黑" w:eastAsia="华文细黑" w:cs="Calibri"/>
                          <w:sz w:val="40"/>
                          <w:szCs w:val="40"/>
                          <w:lang w:eastAsia="zh-CN"/>
                        </w:rPr>
                      </w:pPr>
                      <w:r>
                        <w:rPr>
                          <w:rFonts w:hint="eastAsia" w:ascii="华文细黑" w:hAnsi="华文细黑" w:eastAsia="华文细黑" w:cs="Calibri"/>
                          <w:sz w:val="40"/>
                          <w:szCs w:val="40"/>
                          <w:lang w:val="en-US" w:eastAsia="zh-CN"/>
                        </w:rPr>
                        <w:t>榕发鼓韵公馆</w:t>
                      </w:r>
                      <w:r>
                        <w:rPr>
                          <w:rFonts w:hint="eastAsia" w:ascii="华文细黑" w:hAnsi="华文细黑" w:eastAsia="华文细黑" w:cs="Calibri"/>
                          <w:sz w:val="40"/>
                          <w:szCs w:val="40"/>
                          <w:lang w:eastAsia="zh-CN"/>
                        </w:rPr>
                        <w:t>项目</w:t>
                      </w:r>
                    </w:p>
                    <w:p>
                      <w:pPr>
                        <w:jc w:val="center"/>
                        <w:rPr>
                          <w:rFonts w:hint="eastAsia" w:ascii="华文细黑" w:hAnsi="华文细黑" w:eastAsia="华文细黑" w:cs="Calibri"/>
                          <w:sz w:val="40"/>
                          <w:szCs w:val="40"/>
                          <w:lang w:eastAsia="zh-CN"/>
                        </w:rPr>
                      </w:pPr>
                      <w:r>
                        <w:rPr>
                          <w:rFonts w:hint="eastAsia" w:ascii="华文细黑" w:hAnsi="华文细黑" w:eastAsia="华文细黑" w:cs="Calibri"/>
                          <w:sz w:val="40"/>
                          <w:szCs w:val="40"/>
                          <w:lang w:eastAsia="zh-CN"/>
                        </w:rPr>
                        <w:t xml:space="preserve">二次深化（栏杆、门窗、幕墙）设计 </w:t>
                      </w:r>
                    </w:p>
                    <w:p>
                      <w:pPr>
                        <w:jc w:val="center"/>
                        <w:rPr>
                          <w:sz w:val="40"/>
                          <w:szCs w:val="40"/>
                          <w:lang w:eastAsia="zh-CN"/>
                        </w:rPr>
                      </w:pPr>
                      <w:r>
                        <w:rPr>
                          <w:rFonts w:hint="eastAsia" w:ascii="华文细黑" w:hAnsi="华文细黑" w:eastAsia="华文细黑" w:cs="Calibri"/>
                          <w:sz w:val="40"/>
                          <w:szCs w:val="40"/>
                          <w:lang w:eastAsia="zh-CN"/>
                        </w:rPr>
                        <w:t>技术服务</w:t>
                      </w:r>
                      <w:r>
                        <w:rPr>
                          <w:rFonts w:ascii="华文细黑" w:hAnsi="华文细黑" w:eastAsia="华文细黑" w:cs="Calibri"/>
                          <w:sz w:val="40"/>
                          <w:szCs w:val="40"/>
                          <w:lang w:eastAsia="zh-CN"/>
                        </w:rPr>
                        <w:t>服务</w:t>
                      </w:r>
                      <w:r>
                        <w:rPr>
                          <w:rFonts w:hint="eastAsia" w:ascii="华文细黑" w:hAnsi="华文细黑" w:eastAsia="华文细黑" w:cs="Calibri"/>
                          <w:sz w:val="40"/>
                          <w:szCs w:val="40"/>
                          <w:lang w:eastAsia="zh-CN"/>
                        </w:rPr>
                        <w:t>任务</w:t>
                      </w:r>
                      <w:r>
                        <w:rPr>
                          <w:rFonts w:ascii="华文细黑" w:hAnsi="华文细黑" w:eastAsia="华文细黑" w:cs="Calibri"/>
                          <w:sz w:val="40"/>
                          <w:szCs w:val="40"/>
                          <w:lang w:eastAsia="zh-CN"/>
                        </w:rPr>
                        <w:t>书</w:t>
                      </w:r>
                    </w:p>
                  </w:txbxContent>
                </v:textbox>
                <w10:wrap type="square"/>
              </v:shape>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华文细黑" w:hAnsi="华文细黑" w:eastAsia="华文细黑" w:cs="Calibri"/>
          <w:color w:val="023F88"/>
          <w:sz w:val="24"/>
          <w:szCs w:val="24"/>
          <w:lang w:val="en-AU" w:eastAsia="zh-CN"/>
        </w:rPr>
        <w:br w:type="page"/>
      </w:r>
    </w:p>
    <w:p>
      <w:pPr>
        <w:tabs>
          <w:tab w:val="left" w:pos="567"/>
          <w:tab w:val="left" w:pos="851"/>
        </w:tabs>
        <w:autoSpaceDE w:val="0"/>
        <w:autoSpaceDN w:val="0"/>
        <w:textAlignment w:val="bottom"/>
        <w:rPr>
          <w:rFonts w:hint="eastAsia" w:ascii="华文细黑" w:hAnsi="华文细黑" w:eastAsia="华文细黑" w:cs="Calibri"/>
          <w:b/>
          <w:caps/>
          <w:sz w:val="12"/>
          <w:szCs w:val="12"/>
          <w:lang w:eastAsia="zh-CN"/>
        </w:rPr>
      </w:pPr>
    </w:p>
    <w:p>
      <w:pPr>
        <w:pStyle w:val="3"/>
        <w:numPr>
          <w:ilvl w:val="0"/>
          <w:numId w:val="1"/>
        </w:numPr>
        <w:spacing w:line="360" w:lineRule="auto"/>
        <w:ind w:left="900" w:hanging="420"/>
        <w:rPr>
          <w:rFonts w:hint="eastAsia" w:ascii="华文细黑" w:hAnsi="华文细黑" w:eastAsia="华文细黑" w:cs="Calibri"/>
          <w:color w:val="auto"/>
          <w:sz w:val="24"/>
          <w:szCs w:val="24"/>
          <w:lang w:eastAsia="zh-CN"/>
        </w:rPr>
      </w:pPr>
      <w:bookmarkStart w:id="18" w:name="_Toc184645926"/>
      <w:r>
        <w:rPr>
          <w:rFonts w:ascii="华文细黑" w:hAnsi="华文细黑" w:eastAsia="华文细黑" w:cs="Calibri"/>
          <w:color w:val="auto"/>
          <w:sz w:val="24"/>
          <w:szCs w:val="24"/>
          <w:lang w:eastAsia="zh-CN"/>
        </w:rPr>
        <w:t>项目概况Project Information</w:t>
      </w:r>
      <w:bookmarkEnd w:id="18"/>
    </w:p>
    <w:p>
      <w:pPr>
        <w:pStyle w:val="26"/>
        <w:spacing w:line="360" w:lineRule="auto"/>
        <w:ind w:left="440" w:firstLine="0" w:firstLineChars="0"/>
        <w:rPr>
          <w:rFonts w:hint="eastAsia" w:ascii="华文细黑" w:hAnsi="华文细黑" w:eastAsia="华文细黑" w:cs="宋体"/>
          <w:snapToGrid w:val="0"/>
          <w:spacing w:val="-1"/>
          <w:position w:val="2"/>
          <w:sz w:val="22"/>
          <w:szCs w:val="22"/>
          <w:lang w:eastAsia="zh-CN"/>
        </w:rPr>
      </w:pPr>
      <w:r>
        <w:rPr>
          <w:rFonts w:hint="eastAsia" w:ascii="华文细黑" w:hAnsi="华文细黑" w:eastAsia="华文细黑" w:cs="宋体"/>
          <w:snapToGrid w:val="0"/>
          <w:spacing w:val="-1"/>
          <w:position w:val="2"/>
          <w:sz w:val="22"/>
          <w:szCs w:val="22"/>
          <w:lang w:eastAsia="zh-CN"/>
        </w:rPr>
        <w:t>项目名称：</w:t>
      </w:r>
      <w:r>
        <w:rPr>
          <w:rFonts w:hint="eastAsia" w:ascii="华文细黑" w:hAnsi="华文细黑" w:eastAsia="华文细黑" w:cs="宋体"/>
          <w:snapToGrid w:val="0"/>
          <w:spacing w:val="-1"/>
          <w:position w:val="2"/>
          <w:sz w:val="22"/>
          <w:szCs w:val="22"/>
          <w:lang w:val="en-US" w:eastAsia="zh-CN"/>
        </w:rPr>
        <w:t>榕发鼓韵公馆</w:t>
      </w:r>
      <w:r>
        <w:rPr>
          <w:rFonts w:hint="eastAsia" w:ascii="华文细黑" w:hAnsi="华文细黑" w:eastAsia="华文细黑" w:cs="宋体"/>
          <w:snapToGrid w:val="0"/>
          <w:spacing w:val="-1"/>
          <w:position w:val="2"/>
          <w:sz w:val="22"/>
          <w:szCs w:val="22"/>
          <w:lang w:eastAsia="zh-CN"/>
        </w:rPr>
        <w:t>项目二次深化（栏杆、门窗、幕墙）设计</w:t>
      </w:r>
    </w:p>
    <w:p>
      <w:pPr>
        <w:pStyle w:val="26"/>
        <w:spacing w:line="360" w:lineRule="auto"/>
        <w:ind w:left="440" w:firstLine="0" w:firstLineChars="0"/>
        <w:rPr>
          <w:rFonts w:hint="eastAsia" w:ascii="华文细黑" w:hAnsi="华文细黑" w:eastAsia="华文细黑" w:cs="宋体"/>
          <w:snapToGrid w:val="0"/>
          <w:spacing w:val="-1"/>
          <w:position w:val="2"/>
          <w:sz w:val="22"/>
          <w:szCs w:val="22"/>
          <w:lang w:eastAsia="zh-CN"/>
        </w:rPr>
      </w:pPr>
      <w:r>
        <w:rPr>
          <w:rFonts w:hint="eastAsia" w:ascii="华文细黑" w:hAnsi="华文细黑" w:eastAsia="华文细黑" w:cs="宋体"/>
          <w:snapToGrid w:val="0"/>
          <w:spacing w:val="-1"/>
          <w:position w:val="2"/>
          <w:sz w:val="22"/>
          <w:szCs w:val="22"/>
          <w:lang w:eastAsia="zh-CN"/>
        </w:rPr>
        <w:t>项目地点：</w:t>
      </w:r>
      <w:r>
        <w:rPr>
          <w:rFonts w:hint="eastAsia" w:ascii="华文细黑" w:hAnsi="华文细黑" w:eastAsia="华文细黑" w:cs="宋体"/>
          <w:snapToGrid w:val="0"/>
          <w:spacing w:val="-1"/>
          <w:position w:val="2"/>
          <w:sz w:val="22"/>
          <w:szCs w:val="22"/>
          <w:lang w:val="en-US" w:eastAsia="zh-CN"/>
        </w:rPr>
        <w:t>福建省</w:t>
      </w:r>
      <w:bookmarkStart w:id="31" w:name="_GoBack"/>
      <w:bookmarkEnd w:id="31"/>
      <w:r>
        <w:rPr>
          <w:rFonts w:hint="eastAsia" w:ascii="华文细黑" w:hAnsi="华文细黑" w:eastAsia="华文细黑" w:cs="宋体"/>
          <w:snapToGrid w:val="0"/>
          <w:spacing w:val="-1"/>
          <w:position w:val="2"/>
          <w:sz w:val="22"/>
          <w:szCs w:val="22"/>
          <w:lang w:val="en-US" w:eastAsia="zh-CN"/>
        </w:rPr>
        <w:t>福州市晋安区福光南路以东，远洋路以北</w:t>
      </w:r>
    </w:p>
    <w:p>
      <w:pPr>
        <w:pStyle w:val="26"/>
        <w:spacing w:line="360" w:lineRule="auto"/>
        <w:ind w:left="440" w:firstLine="0" w:firstLineChars="0"/>
        <w:rPr>
          <w:rFonts w:hint="eastAsia" w:ascii="华文细黑" w:hAnsi="华文细黑" w:eastAsia="华文细黑" w:cs="宋体"/>
          <w:snapToGrid w:val="0"/>
          <w:spacing w:val="-1"/>
          <w:position w:val="2"/>
          <w:sz w:val="22"/>
          <w:szCs w:val="22"/>
          <w:lang w:eastAsia="zh-CN"/>
        </w:rPr>
      </w:pPr>
      <w:r>
        <w:rPr>
          <w:rFonts w:hint="eastAsia" w:ascii="华文细黑" w:hAnsi="华文细黑" w:eastAsia="华文细黑" w:cs="宋体"/>
          <w:snapToGrid w:val="0"/>
          <w:spacing w:val="-1"/>
          <w:position w:val="2"/>
          <w:sz w:val="22"/>
          <w:szCs w:val="22"/>
          <w:lang w:eastAsia="zh-CN"/>
        </w:rPr>
        <w:t>建设单位：</w:t>
      </w:r>
      <w:r>
        <w:rPr>
          <w:rFonts w:hint="eastAsia" w:ascii="华文细黑" w:hAnsi="华文细黑" w:eastAsia="华文细黑" w:cs="宋体"/>
          <w:snapToGrid w:val="0"/>
          <w:spacing w:val="-1"/>
          <w:position w:val="2"/>
          <w:sz w:val="22"/>
          <w:szCs w:val="22"/>
          <w:lang w:val="en-US" w:eastAsia="zh-CN"/>
        </w:rPr>
        <w:t>福建省榕发筑地建设发展有限公司</w:t>
      </w:r>
    </w:p>
    <w:p>
      <w:pPr>
        <w:ind w:left="480" w:leftChars="200"/>
        <w:jc w:val="both"/>
        <w:rPr>
          <w:rFonts w:hint="eastAsia" w:ascii="思源宋体" w:hAnsi="思源宋体" w:eastAsia="思源宋体" w:cs="Calibri"/>
          <w:sz w:val="22"/>
          <w:szCs w:val="22"/>
          <w:lang w:eastAsia="zh-CN"/>
        </w:rPr>
      </w:pPr>
    </w:p>
    <w:p>
      <w:pPr>
        <w:ind w:left="480" w:leftChars="200"/>
        <w:jc w:val="both"/>
        <w:rPr>
          <w:rFonts w:hint="eastAsia" w:ascii="思源宋体" w:hAnsi="思源宋体" w:eastAsia="思源宋体" w:cs="Calibri"/>
          <w:sz w:val="22"/>
          <w:szCs w:val="22"/>
          <w:lang w:eastAsia="zh-CN"/>
        </w:rPr>
      </w:pPr>
    </w:p>
    <w:p>
      <w:pPr>
        <w:ind w:left="480" w:leftChars="200"/>
        <w:jc w:val="both"/>
        <w:rPr>
          <w:rFonts w:hint="eastAsia" w:ascii="华文细黑" w:hAnsi="华文细黑" w:eastAsia="华文细黑" w:cs="Calibri"/>
          <w:sz w:val="12"/>
          <w:szCs w:val="12"/>
          <w:lang w:eastAsia="zh-CN"/>
        </w:rPr>
      </w:pPr>
    </w:p>
    <w:p>
      <w:pPr>
        <w:pStyle w:val="3"/>
        <w:numPr>
          <w:ilvl w:val="0"/>
          <w:numId w:val="1"/>
        </w:numPr>
        <w:spacing w:line="360" w:lineRule="auto"/>
        <w:ind w:left="900" w:hanging="420"/>
        <w:rPr>
          <w:rFonts w:hint="eastAsia" w:ascii="华文细黑" w:hAnsi="华文细黑" w:eastAsia="华文细黑" w:cs="Calibri"/>
          <w:color w:val="auto"/>
          <w:sz w:val="24"/>
          <w:szCs w:val="24"/>
          <w:lang w:eastAsia="zh-CN"/>
        </w:rPr>
      </w:pPr>
      <w:bookmarkStart w:id="19" w:name="_Toc184645927"/>
      <w:r>
        <w:rPr>
          <w:rFonts w:ascii="华文细黑" w:hAnsi="华文细黑" w:eastAsia="华文细黑" w:cs="Calibri"/>
          <w:color w:val="auto"/>
          <w:sz w:val="24"/>
          <w:szCs w:val="24"/>
          <w:lang w:eastAsia="zh-CN"/>
        </w:rPr>
        <w:t>技术咨询服务范围Scope of Works</w:t>
      </w:r>
      <w:bookmarkEnd w:id="19"/>
    </w:p>
    <w:p>
      <w:pPr>
        <w:spacing w:line="360" w:lineRule="auto"/>
        <w:rPr>
          <w:rFonts w:hint="eastAsia" w:ascii="华文细黑" w:hAnsi="华文细黑" w:eastAsia="华文细黑"/>
          <w:sz w:val="22"/>
          <w:szCs w:val="22"/>
          <w:lang w:eastAsia="zh-CN"/>
        </w:rPr>
      </w:pPr>
      <w:r>
        <w:rPr>
          <w:rFonts w:hint="eastAsia" w:ascii="华文细黑" w:hAnsi="华文细黑" w:eastAsia="华文细黑" w:cs="宋体"/>
          <w:snapToGrid w:val="0"/>
          <w:spacing w:val="-1"/>
          <w:position w:val="2"/>
          <w:sz w:val="22"/>
          <w:szCs w:val="22"/>
          <w:lang w:eastAsia="zh-CN"/>
        </w:rPr>
        <w:t>1、外观设计以业主单位提供的建筑施工图及效果图为依据，要求既要保证原效果，又不能拘泥于原效果，应力求有突破、有创新。设计人应充分考虑到在设计时所有的技术性问题，对施工图纸进行深化，并保证幕墙门窗栏杆等的整体性能要求。在外装方案设计上，整体上应充分表现出建筑品质，细部处理上应细致、精巧合理。</w:t>
      </w:r>
    </w:p>
    <w:p>
      <w:pPr>
        <w:numPr>
          <w:ilvl w:val="0"/>
          <w:numId w:val="2"/>
        </w:numPr>
        <w:spacing w:line="360" w:lineRule="auto"/>
        <w:rPr>
          <w:rFonts w:hint="eastAsia" w:ascii="华文细黑" w:hAnsi="华文细黑" w:eastAsia="华文细黑" w:cs="宋体"/>
          <w:snapToGrid w:val="0"/>
          <w:spacing w:val="-1"/>
          <w:position w:val="2"/>
          <w:sz w:val="22"/>
          <w:szCs w:val="22"/>
          <w:lang w:eastAsia="zh-CN"/>
        </w:rPr>
      </w:pPr>
      <w:r>
        <w:rPr>
          <w:rFonts w:hint="eastAsia" w:ascii="华文细黑" w:hAnsi="华文细黑" w:eastAsia="华文细黑" w:cs="宋体"/>
          <w:snapToGrid w:val="0"/>
          <w:spacing w:val="-1"/>
          <w:position w:val="2"/>
          <w:sz w:val="22"/>
          <w:szCs w:val="22"/>
          <w:lang w:eastAsia="zh-CN"/>
        </w:rPr>
        <w:t>实施范围包括本地块内地上、地下主要建筑和构筑物的门窗、百叶、栏杆、雨棚、格栅、幕墙等外装饰施工图深化设计服务，具体包括门窗、百叶、栏杆、雨棚、格栅、幕墙等外装饰工程的方案设计、施工图设计、各项专业设计配合工作、以及施工现场配合及顾问服务等相关附属性服务工作。外装饰设计范围包括但不限于以下内容：玻璃幕墙、金属板幕墙、石材幕墙、钢构雨棚、门窗、玻璃栏板、金属格栅、采光顶、装饰格栅、GRC（如有）、UHPC（如有）、坡道上顶盖、风雨连廊饰面吊顶等施工图深化设计；墙身及节点设计（预埋件、龙骨、面板等分布图、屋面幕墙用支持钢构、层间防火岩棉及背板、防雷保护等）；为照明设备、建筑标识、广告灯箱、线管、机电等有关的预留方案及节点等。）</w:t>
      </w:r>
    </w:p>
    <w:p>
      <w:pPr>
        <w:spacing w:line="360" w:lineRule="auto"/>
        <w:rPr>
          <w:rFonts w:hint="eastAsia" w:ascii="华文细黑" w:hAnsi="华文细黑" w:eastAsia="华文细黑" w:cs="宋体"/>
          <w:snapToGrid w:val="0"/>
          <w:spacing w:val="-1"/>
          <w:position w:val="2"/>
          <w:sz w:val="22"/>
          <w:szCs w:val="22"/>
          <w:lang w:eastAsia="zh-CN"/>
        </w:rPr>
      </w:pPr>
      <w:r>
        <w:rPr>
          <w:rFonts w:hint="eastAsia" w:ascii="华文细黑" w:hAnsi="华文细黑" w:eastAsia="华文细黑" w:cs="宋体"/>
          <w:snapToGrid w:val="0"/>
          <w:spacing w:val="-1"/>
          <w:position w:val="2"/>
          <w:sz w:val="22"/>
          <w:szCs w:val="22"/>
          <w:lang w:eastAsia="zh-CN"/>
        </w:rPr>
        <w:t>3、设计服务工作内容：</w:t>
      </w:r>
    </w:p>
    <w:p>
      <w:pPr>
        <w:spacing w:line="360" w:lineRule="auto"/>
        <w:rPr>
          <w:rFonts w:hint="eastAsia" w:ascii="华文细黑" w:hAnsi="华文细黑" w:eastAsia="华文细黑" w:cs="宋体"/>
          <w:snapToGrid w:val="0"/>
          <w:spacing w:val="-1"/>
          <w:position w:val="2"/>
          <w:sz w:val="22"/>
          <w:szCs w:val="22"/>
          <w:lang w:eastAsia="zh-CN"/>
        </w:rPr>
      </w:pPr>
      <w:r>
        <w:rPr>
          <w:rFonts w:hint="eastAsia" w:ascii="华文细黑" w:hAnsi="华文细黑" w:eastAsia="华文细黑" w:cs="宋体"/>
          <w:snapToGrid w:val="0"/>
          <w:spacing w:val="-1"/>
          <w:position w:val="2"/>
          <w:sz w:val="22"/>
          <w:szCs w:val="22"/>
          <w:lang w:eastAsia="zh-CN"/>
        </w:rPr>
        <w:t>1）、完成上述设计范围内门窗百叶栏杆雨棚格栅幕墙等外装饰施工图深化设计以及相关计算书，并通过业主及施工图主体设计单位相关专业负责人的内部审查。</w:t>
      </w:r>
    </w:p>
    <w:p>
      <w:pPr>
        <w:spacing w:line="360" w:lineRule="auto"/>
        <w:rPr>
          <w:rFonts w:hint="eastAsia" w:ascii="华文细黑" w:hAnsi="华文细黑" w:eastAsia="华文细黑" w:cs="宋体"/>
          <w:snapToGrid w:val="0"/>
          <w:spacing w:val="-1"/>
          <w:position w:val="2"/>
          <w:sz w:val="22"/>
          <w:szCs w:val="22"/>
          <w:lang w:eastAsia="zh-CN"/>
        </w:rPr>
      </w:pPr>
      <w:r>
        <w:rPr>
          <w:rFonts w:hint="eastAsia" w:ascii="华文细黑" w:hAnsi="华文细黑" w:eastAsia="华文细黑" w:cs="宋体"/>
          <w:snapToGrid w:val="0"/>
          <w:spacing w:val="-1"/>
          <w:position w:val="2"/>
          <w:sz w:val="22"/>
          <w:szCs w:val="22"/>
          <w:lang w:eastAsia="zh-CN"/>
        </w:rPr>
        <w:t>2）、政府沟通汇报和报审的要求</w:t>
      </w:r>
    </w:p>
    <w:p>
      <w:pPr>
        <w:spacing w:line="360" w:lineRule="auto"/>
        <w:rPr>
          <w:rFonts w:hint="eastAsia" w:ascii="华文细黑" w:hAnsi="华文细黑" w:eastAsia="华文细黑"/>
          <w:sz w:val="22"/>
          <w:szCs w:val="22"/>
          <w:lang w:eastAsia="zh-CN"/>
        </w:rPr>
      </w:pPr>
      <w:r>
        <w:rPr>
          <w:rFonts w:hint="eastAsia" w:ascii="华文细黑" w:hAnsi="华文细黑" w:eastAsia="华文细黑" w:cs="宋体"/>
          <w:snapToGrid w:val="0"/>
          <w:spacing w:val="-1"/>
          <w:position w:val="2"/>
          <w:sz w:val="22"/>
          <w:szCs w:val="22"/>
          <w:lang w:eastAsia="zh-CN"/>
        </w:rPr>
        <w:t>3）、进行招采配合、现场施工技术配合（不少于10次）、提供设计变更图纸、竣工图纸以及上述未提及的设计配合协作事项。</w:t>
      </w:r>
    </w:p>
    <w:p>
      <w:pPr>
        <w:spacing w:line="360" w:lineRule="auto"/>
        <w:rPr>
          <w:rFonts w:hint="eastAsia" w:ascii="华文细黑" w:hAnsi="华文细黑" w:eastAsia="华文细黑" w:cs="宋体"/>
          <w:snapToGrid w:val="0"/>
          <w:spacing w:val="-1"/>
          <w:position w:val="2"/>
          <w:sz w:val="22"/>
          <w:szCs w:val="22"/>
          <w:lang w:eastAsia="zh-CN"/>
        </w:rPr>
      </w:pPr>
      <w:r>
        <w:rPr>
          <w:rFonts w:hint="eastAsia" w:ascii="华文细黑" w:hAnsi="华文细黑" w:eastAsia="华文细黑" w:cs="宋体"/>
          <w:snapToGrid w:val="0"/>
          <w:spacing w:val="-1"/>
          <w:position w:val="2"/>
          <w:sz w:val="22"/>
          <w:szCs w:val="22"/>
          <w:lang w:eastAsia="zh-CN"/>
        </w:rPr>
        <w:t>备注：二次深化设计费（栏杆、门窗、幕墙）其中一层、风雨连廊、售楼部、下沉庭院、门楼、地下室坡道、标准层金属线条等位置考虑幕墙做法，其余考虑窗墙体系。</w:t>
      </w:r>
    </w:p>
    <w:p>
      <w:pPr>
        <w:rPr>
          <w:lang w:eastAsia="zh-CN"/>
        </w:rPr>
      </w:pPr>
    </w:p>
    <w:p>
      <w:pPr>
        <w:spacing w:line="300" w:lineRule="auto"/>
        <w:ind w:left="480" w:leftChars="200"/>
        <w:jc w:val="both"/>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以下</w:t>
      </w:r>
      <w:r>
        <w:rPr>
          <w:rFonts w:hint="eastAsia" w:ascii="华文细黑" w:hAnsi="华文细黑" w:eastAsia="华文细黑" w:cs="Calibri"/>
          <w:sz w:val="22"/>
          <w:szCs w:val="22"/>
          <w:lang w:eastAsia="zh-CN"/>
        </w:rPr>
        <w:t>外幕墙</w:t>
      </w:r>
      <w:r>
        <w:rPr>
          <w:rFonts w:ascii="华文细黑" w:hAnsi="华文细黑" w:eastAsia="华文细黑" w:cs="Calibri"/>
          <w:sz w:val="22"/>
          <w:szCs w:val="22"/>
          <w:lang w:eastAsia="zh-CN"/>
        </w:rPr>
        <w:t>系统包</w:t>
      </w:r>
      <w:r>
        <w:rPr>
          <w:rFonts w:hint="eastAsia" w:ascii="华文细黑" w:hAnsi="华文细黑" w:eastAsia="华文细黑" w:cs="Calibri"/>
          <w:sz w:val="22"/>
          <w:szCs w:val="22"/>
          <w:lang w:eastAsia="zh-CN"/>
        </w:rPr>
        <w:t>含</w:t>
      </w:r>
      <w:r>
        <w:rPr>
          <w:rFonts w:ascii="华文细黑" w:hAnsi="华文细黑" w:eastAsia="华文细黑" w:cs="Calibri"/>
          <w:sz w:val="22"/>
          <w:szCs w:val="22"/>
          <w:lang w:eastAsia="zh-CN"/>
        </w:rPr>
        <w:t>在</w:t>
      </w:r>
      <w:r>
        <w:rPr>
          <w:rFonts w:hint="eastAsia" w:ascii="华文细黑" w:hAnsi="华文细黑" w:eastAsia="华文细黑" w:cs="Calibri"/>
          <w:sz w:val="22"/>
          <w:szCs w:val="22"/>
          <w:lang w:eastAsia="zh-CN"/>
        </w:rPr>
        <w:t>本次</w:t>
      </w:r>
      <w:r>
        <w:rPr>
          <w:rFonts w:ascii="华文细黑" w:hAnsi="华文细黑" w:eastAsia="华文细黑" w:cs="Calibri"/>
          <w:sz w:val="22"/>
          <w:szCs w:val="22"/>
          <w:lang w:eastAsia="zh-CN"/>
        </w:rPr>
        <w:t>设计咨询服务范围内：</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玻璃幕墙系统</w:t>
      </w:r>
      <w:r>
        <w:rPr>
          <w:rFonts w:ascii="华文细黑" w:hAnsi="华文细黑" w:eastAsia="华文细黑" w:cs="Calibri"/>
          <w:sz w:val="22"/>
          <w:szCs w:val="22"/>
          <w:lang w:eastAsia="zh-CN"/>
        </w:rPr>
        <w:tab/>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金属板幕墙系统</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金属板与玻璃采光天棚</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屋顶遮蔽饰面/格栅/光伏</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外墙门窗</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外墙装饰构件</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外墙铝合金百叶</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雨蓬</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首层门</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仅用于支撑幕墙系统的钢结构（采光顶、雨篷、幕墙）</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泛光照明设计配合</w:t>
      </w:r>
    </w:p>
    <w:p>
      <w:pPr>
        <w:pStyle w:val="40"/>
        <w:spacing w:before="120" w:after="120" w:line="300" w:lineRule="auto"/>
        <w:ind w:left="480" w:leftChars="200" w:firstLine="0" w:firstLineChars="0"/>
        <w:rPr>
          <w:rFonts w:hint="eastAsia" w:ascii="华文细黑" w:hAnsi="华文细黑" w:eastAsia="华文细黑" w:cs="Calibri"/>
          <w:sz w:val="22"/>
          <w:szCs w:val="22"/>
          <w:lang w:eastAsia="zh-CN"/>
        </w:rPr>
      </w:pPr>
    </w:p>
    <w:p>
      <w:pPr>
        <w:spacing w:line="300" w:lineRule="auto"/>
        <w:ind w:left="480" w:leftChars="200"/>
        <w:jc w:val="both"/>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以下系统不包括在</w:t>
      </w:r>
      <w:r>
        <w:rPr>
          <w:rFonts w:hint="eastAsia" w:ascii="华文细黑" w:hAnsi="华文细黑" w:eastAsia="华文细黑" w:cs="Calibri"/>
          <w:sz w:val="22"/>
          <w:szCs w:val="22"/>
          <w:lang w:eastAsia="zh-CN"/>
        </w:rPr>
        <w:t>外幕墙</w:t>
      </w:r>
      <w:r>
        <w:rPr>
          <w:rFonts w:ascii="华文细黑" w:hAnsi="华文细黑" w:eastAsia="华文细黑" w:cs="Calibri"/>
          <w:sz w:val="22"/>
          <w:szCs w:val="22"/>
          <w:lang w:eastAsia="zh-CN"/>
        </w:rPr>
        <w:t>咨询服务范围内：</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真石漆涂料</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混凝土表面处理</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砖墙及砼墙体保温</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面砖及</w:t>
      </w:r>
      <w:r>
        <w:rPr>
          <w:rFonts w:hint="eastAsia" w:ascii="华文细黑" w:hAnsi="华文细黑" w:eastAsia="华文细黑" w:cs="Calibri"/>
          <w:sz w:val="22"/>
          <w:szCs w:val="22"/>
          <w:lang w:eastAsia="zh-CN"/>
        </w:rPr>
        <w:t>砼</w:t>
      </w:r>
      <w:r>
        <w:rPr>
          <w:rFonts w:ascii="华文细黑" w:hAnsi="华文细黑" w:eastAsia="华文细黑" w:cs="Calibri"/>
          <w:sz w:val="22"/>
          <w:szCs w:val="22"/>
          <w:lang w:eastAsia="zh-CN"/>
        </w:rPr>
        <w:t>防水屋顶</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内部装饰</w:t>
      </w:r>
      <w:r>
        <w:rPr>
          <w:rFonts w:hint="eastAsia" w:ascii="华文细黑" w:hAnsi="华文细黑" w:eastAsia="华文细黑" w:cs="Calibri"/>
          <w:sz w:val="22"/>
          <w:szCs w:val="22"/>
          <w:lang w:eastAsia="zh-CN"/>
        </w:rPr>
        <w:t>墙</w:t>
      </w:r>
      <w:r>
        <w:rPr>
          <w:rFonts w:ascii="华文细黑" w:hAnsi="华文细黑" w:eastAsia="华文细黑" w:cs="Calibri"/>
          <w:sz w:val="22"/>
          <w:szCs w:val="22"/>
          <w:lang w:eastAsia="zh-CN"/>
        </w:rPr>
        <w:t>或</w:t>
      </w:r>
      <w:r>
        <w:rPr>
          <w:rFonts w:hint="eastAsia" w:ascii="华文细黑" w:hAnsi="华文细黑" w:eastAsia="华文细黑" w:cs="Calibri"/>
          <w:sz w:val="22"/>
          <w:szCs w:val="22"/>
          <w:lang w:eastAsia="zh-CN"/>
        </w:rPr>
        <w:t>隔断</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临时设施</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灯光照明设计</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广告牌、标识牌设计</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外墙</w:t>
      </w:r>
      <w:r>
        <w:rPr>
          <w:rFonts w:hint="eastAsia" w:ascii="华文细黑" w:hAnsi="华文细黑" w:eastAsia="华文细黑" w:cs="Calibri"/>
          <w:sz w:val="22"/>
          <w:szCs w:val="22"/>
          <w:lang w:eastAsia="zh-CN"/>
        </w:rPr>
        <w:t>、</w:t>
      </w:r>
      <w:r>
        <w:rPr>
          <w:rFonts w:ascii="华文细黑" w:hAnsi="华文细黑" w:eastAsia="华文细黑" w:cs="Calibri"/>
          <w:sz w:val="22"/>
          <w:szCs w:val="22"/>
          <w:lang w:eastAsia="zh-CN"/>
        </w:rPr>
        <w:t>采光顶</w:t>
      </w:r>
      <w:r>
        <w:rPr>
          <w:rFonts w:hint="eastAsia" w:ascii="华文细黑" w:hAnsi="华文细黑" w:eastAsia="华文细黑" w:cs="Calibri"/>
          <w:sz w:val="22"/>
          <w:szCs w:val="22"/>
          <w:lang w:eastAsia="zh-CN"/>
        </w:rPr>
        <w:t>、雨蓬</w:t>
      </w:r>
      <w:r>
        <w:rPr>
          <w:rFonts w:ascii="华文细黑" w:hAnsi="华文细黑" w:eastAsia="华文细黑" w:cs="Calibri"/>
          <w:sz w:val="22"/>
          <w:szCs w:val="22"/>
          <w:lang w:eastAsia="zh-CN"/>
        </w:rPr>
        <w:t>的支承主体结构</w:t>
      </w:r>
    </w:p>
    <w:p>
      <w:pPr>
        <w:pStyle w:val="8"/>
        <w:numPr>
          <w:ilvl w:val="1"/>
          <w:numId w:val="3"/>
        </w:numPr>
        <w:spacing w:before="120" w:after="120"/>
        <w:ind w:left="1322"/>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项目描述中没有被明确的其它附属建筑</w:t>
      </w:r>
    </w:p>
    <w:p>
      <w:pPr>
        <w:pStyle w:val="8"/>
        <w:spacing w:line="300" w:lineRule="auto"/>
        <w:rPr>
          <w:rFonts w:hint="eastAsia" w:ascii="华文细黑" w:hAnsi="华文细黑" w:eastAsia="华文细黑" w:cs="Calibri"/>
          <w:sz w:val="12"/>
          <w:szCs w:val="12"/>
          <w:lang w:eastAsia="zh-CN"/>
        </w:rPr>
      </w:pPr>
      <w:r>
        <w:rPr>
          <w:rFonts w:ascii="华文细黑" w:hAnsi="华文细黑" w:eastAsia="华文细黑" w:cs="Calibri"/>
          <w:sz w:val="22"/>
          <w:szCs w:val="22"/>
          <w:lang w:eastAsia="zh-CN"/>
        </w:rPr>
        <w:br w:type="page"/>
      </w:r>
    </w:p>
    <w:p>
      <w:pPr>
        <w:pStyle w:val="3"/>
        <w:numPr>
          <w:ilvl w:val="0"/>
          <w:numId w:val="1"/>
        </w:numPr>
        <w:spacing w:line="360" w:lineRule="auto"/>
        <w:ind w:left="900" w:hanging="420"/>
        <w:rPr>
          <w:rFonts w:hint="eastAsia" w:ascii="华文细黑" w:hAnsi="华文细黑" w:eastAsia="华文细黑" w:cs="Calibri"/>
          <w:color w:val="auto"/>
          <w:sz w:val="24"/>
          <w:szCs w:val="24"/>
          <w:lang w:eastAsia="zh-CN"/>
        </w:rPr>
      </w:pPr>
      <w:bookmarkStart w:id="20" w:name="_Toc184645928"/>
      <w:r>
        <w:rPr>
          <w:rFonts w:hint="eastAsia" w:ascii="华文细黑" w:hAnsi="华文细黑" w:eastAsia="华文细黑" w:cs="Calibri"/>
          <w:color w:val="auto"/>
          <w:sz w:val="24"/>
          <w:szCs w:val="24"/>
          <w:lang w:eastAsia="zh-CN"/>
        </w:rPr>
        <w:t>幕墙</w:t>
      </w:r>
      <w:r>
        <w:rPr>
          <w:rFonts w:ascii="华文细黑" w:hAnsi="华文细黑" w:eastAsia="华文细黑" w:cs="Calibri"/>
          <w:color w:val="auto"/>
          <w:sz w:val="24"/>
          <w:szCs w:val="24"/>
          <w:lang w:eastAsia="zh-CN"/>
        </w:rPr>
        <w:t>技术咨询服务内容</w:t>
      </w:r>
      <w:bookmarkEnd w:id="20"/>
    </w:p>
    <w:p>
      <w:pPr>
        <w:pStyle w:val="4"/>
        <w:numPr>
          <w:ilvl w:val="0"/>
          <w:numId w:val="4"/>
        </w:numPr>
        <w:tabs>
          <w:tab w:val="left" w:pos="902"/>
        </w:tabs>
        <w:spacing w:line="360" w:lineRule="auto"/>
        <w:ind w:left="902" w:hanging="482"/>
      </w:pPr>
      <w:bookmarkStart w:id="21" w:name="_Toc184645929"/>
      <w:bookmarkStart w:id="22" w:name="_Toc367916418"/>
      <w:r>
        <w:rPr>
          <w:rFonts w:hint="eastAsia"/>
        </w:rPr>
        <w:t>概念方案设计阶段</w:t>
      </w:r>
      <w:bookmarkEnd w:id="21"/>
      <w:bookmarkEnd w:id="22"/>
    </w:p>
    <w:p>
      <w:pPr>
        <w:pStyle w:val="8"/>
        <w:numPr>
          <w:ilvl w:val="0"/>
          <w:numId w:val="5"/>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熟悉最新的项目基本资料和相关文件，包括业主方、设计院提供的关于项目规划批复文件和资料及与幕墙有关的文件。</w:t>
      </w:r>
    </w:p>
    <w:p>
      <w:pPr>
        <w:pStyle w:val="8"/>
        <w:numPr>
          <w:ilvl w:val="0"/>
          <w:numId w:val="5"/>
        </w:numPr>
        <w:spacing w:line="360" w:lineRule="auto"/>
        <w:rPr>
          <w:rFonts w:hint="eastAsia" w:ascii="华文细黑" w:hAnsi="华文细黑" w:eastAsia="华文细黑"/>
          <w:sz w:val="22"/>
          <w:szCs w:val="22"/>
          <w:lang w:eastAsia="zh-CN"/>
        </w:rPr>
      </w:pPr>
      <w:r>
        <w:rPr>
          <w:rFonts w:hint="eastAsia" w:ascii="华文细黑" w:hAnsi="华文细黑" w:eastAsia="华文细黑" w:cs="Calibri"/>
          <w:sz w:val="22"/>
          <w:szCs w:val="22"/>
          <w:lang w:eastAsia="zh-CN"/>
        </w:rPr>
        <w:t>充分理解建筑设计立意和建筑设计概念，结合成本因素提供可能的幕墙系统和材料，并进行初步比较。由于幕墙成本造价的源头取决于建筑设计意向，所以此阶段应与甲方沟通初步造价概算对于建筑方案取舍的影响，以避免建筑方案进行到后面，其造价大大超过甲方概算的控制要求。</w:t>
      </w:r>
    </w:p>
    <w:p>
      <w:pPr>
        <w:pStyle w:val="8"/>
        <w:numPr>
          <w:ilvl w:val="0"/>
          <w:numId w:val="5"/>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与建筑师一起确定符合国家和当地规范要求的针对本项目的设计标准，包括但不限于结构、防火、保温、遮阳、水密、气密、隔声、采光、通风、光照、表面处理和耐久寿命等等。</w:t>
      </w:r>
    </w:p>
    <w:p>
      <w:pPr>
        <w:pStyle w:val="8"/>
        <w:numPr>
          <w:ilvl w:val="0"/>
          <w:numId w:val="5"/>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评估风荷载设计要求。分析相关信息如</w:t>
      </w:r>
      <w:r>
        <w:rPr>
          <w:rFonts w:ascii="华文细黑" w:hAnsi="华文细黑" w:eastAsia="华文细黑" w:cs="Calibri"/>
          <w:sz w:val="22"/>
          <w:szCs w:val="22"/>
          <w:lang w:eastAsia="zh-CN"/>
        </w:rPr>
        <w:t>风洞测试报告和风环境研究结果</w:t>
      </w:r>
      <w:r>
        <w:rPr>
          <w:rFonts w:hint="eastAsia" w:ascii="华文细黑" w:hAnsi="华文细黑" w:eastAsia="华文细黑" w:cs="Calibri"/>
          <w:sz w:val="22"/>
          <w:szCs w:val="22"/>
          <w:lang w:eastAsia="zh-CN"/>
        </w:rPr>
        <w:t>等，并确定包括设计风压和特殊风荷载处理措施在内的设计准则。</w:t>
      </w:r>
    </w:p>
    <w:p>
      <w:pPr>
        <w:pStyle w:val="8"/>
        <w:numPr>
          <w:ilvl w:val="0"/>
          <w:numId w:val="5"/>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进一步筛选更适合本项目的可能的幕墙系统和材料，协助建筑师更好的达到设计意图和完善设计方案。从系统选型、主要材料、建造安装、使用维护、成本构成方面给出更加详细的比较分析。</w:t>
      </w:r>
    </w:p>
    <w:p>
      <w:pPr>
        <w:pStyle w:val="8"/>
        <w:numPr>
          <w:ilvl w:val="0"/>
          <w:numId w:val="5"/>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针对典型的建筑立面所涉及到的幕墙系统，提供</w:t>
      </w:r>
      <w:r>
        <w:rPr>
          <w:rFonts w:ascii="华文细黑" w:hAnsi="华文细黑" w:eastAsia="华文细黑" w:cs="Calibri"/>
          <w:sz w:val="22"/>
          <w:szCs w:val="22"/>
          <w:lang w:eastAsia="zh-CN"/>
        </w:rPr>
        <w:t>AutoCAD</w:t>
      </w:r>
      <w:r>
        <w:rPr>
          <w:rFonts w:hint="eastAsia" w:ascii="华文细黑" w:hAnsi="华文细黑" w:eastAsia="华文细黑" w:cs="Calibri"/>
          <w:sz w:val="22"/>
          <w:szCs w:val="22"/>
          <w:lang w:eastAsia="zh-CN"/>
        </w:rPr>
        <w:t>形式的初步设计图，包括建议的分格以及针对建筑设计概念的可能的优化设计。</w:t>
      </w:r>
    </w:p>
    <w:p>
      <w:pPr>
        <w:pStyle w:val="8"/>
        <w:numPr>
          <w:ilvl w:val="0"/>
          <w:numId w:val="5"/>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针对幕墙的结构体系，评估支撑反力的荷载水平，对可能的比较大的荷载反力提请结构工程师，并与之沟通协调确保幕墙的支座反力可以被主体结构构件承受。</w:t>
      </w:r>
    </w:p>
    <w:p>
      <w:pPr>
        <w:pStyle w:val="8"/>
        <w:numPr>
          <w:ilvl w:val="0"/>
          <w:numId w:val="5"/>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根据</w:t>
      </w:r>
      <w:r>
        <w:rPr>
          <w:rFonts w:ascii="华文细黑" w:hAnsi="华文细黑" w:eastAsia="华文细黑" w:cs="Calibri"/>
          <w:sz w:val="22"/>
          <w:szCs w:val="22"/>
          <w:lang w:eastAsia="zh-CN"/>
        </w:rPr>
        <w:t>建筑设计方案，</w:t>
      </w:r>
      <w:r>
        <w:rPr>
          <w:rFonts w:hint="eastAsia" w:ascii="华文细黑" w:hAnsi="华文细黑" w:eastAsia="华文细黑" w:cs="Calibri"/>
          <w:sz w:val="22"/>
          <w:szCs w:val="22"/>
          <w:lang w:eastAsia="zh-CN"/>
        </w:rPr>
        <w:t>配合业主提供初步</w:t>
      </w:r>
      <w:r>
        <w:rPr>
          <w:rFonts w:ascii="华文细黑" w:hAnsi="华文细黑" w:eastAsia="华文细黑" w:cs="Calibri"/>
          <w:sz w:val="22"/>
          <w:szCs w:val="22"/>
          <w:lang w:eastAsia="zh-CN"/>
        </w:rPr>
        <w:t>的幕墙系统描述及</w:t>
      </w:r>
      <w:r>
        <w:rPr>
          <w:rFonts w:hint="eastAsia" w:ascii="华文细黑" w:hAnsi="华文细黑" w:eastAsia="华文细黑" w:cs="Calibri"/>
          <w:sz w:val="22"/>
          <w:szCs w:val="22"/>
          <w:lang w:eastAsia="zh-CN"/>
        </w:rPr>
        <w:t>成本概算</w:t>
      </w:r>
      <w:r>
        <w:rPr>
          <w:rFonts w:ascii="华文细黑" w:hAnsi="华文细黑" w:eastAsia="华文细黑" w:cs="Calibri"/>
          <w:sz w:val="22"/>
          <w:szCs w:val="22"/>
          <w:lang w:eastAsia="zh-CN"/>
        </w:rPr>
        <w:t>。</w:t>
      </w:r>
    </w:p>
    <w:p>
      <w:pPr>
        <w:pStyle w:val="8"/>
        <w:numPr>
          <w:ilvl w:val="0"/>
          <w:numId w:val="5"/>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针对建筑设计方案提供全套的检查以确保外幕墙设计满足国家和当地幕墙工程规范的限制条件及要求。</w:t>
      </w:r>
    </w:p>
    <w:p>
      <w:pPr>
        <w:pStyle w:val="4"/>
        <w:numPr>
          <w:ilvl w:val="0"/>
          <w:numId w:val="4"/>
        </w:numPr>
        <w:tabs>
          <w:tab w:val="left" w:pos="902"/>
        </w:tabs>
        <w:spacing w:line="360" w:lineRule="auto"/>
        <w:ind w:left="902" w:hanging="482"/>
      </w:pPr>
      <w:bookmarkStart w:id="23" w:name="_Toc367916419"/>
      <w:bookmarkStart w:id="24" w:name="_Toc184645930"/>
      <w:r>
        <w:rPr>
          <w:rFonts w:hint="eastAsia"/>
        </w:rPr>
        <w:t>扩初设计阶段</w:t>
      </w:r>
      <w:bookmarkEnd w:id="23"/>
      <w:r>
        <w:t>Design Development Stage</w:t>
      </w:r>
      <w:bookmarkEnd w:id="24"/>
    </w:p>
    <w:p>
      <w:pPr>
        <w:pStyle w:val="8"/>
        <w:spacing w:line="360" w:lineRule="auto"/>
        <w:ind w:left="485" w:leftChars="202"/>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此阶段的目的是讨论及深化整个建筑外形的幕墙及外墙系统的节点大样，完成所需图纸。且所有相关信息与团队共享，使招标文件快速进行。服务范围包括但不限于：</w:t>
      </w:r>
    </w:p>
    <w:p>
      <w:pPr>
        <w:pStyle w:val="8"/>
        <w:numPr>
          <w:ilvl w:val="0"/>
          <w:numId w:val="6"/>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与建筑师和施工图设计院沟通协调，根据最新的建筑设计进一步深化所有幕墙系统。这个阶段的启动工作需要建筑设计至少达到</w:t>
      </w:r>
      <w:r>
        <w:rPr>
          <w:rFonts w:ascii="华文细黑" w:hAnsi="华文细黑" w:eastAsia="华文细黑" w:cs="Calibri"/>
          <w:sz w:val="22"/>
          <w:szCs w:val="22"/>
          <w:lang w:eastAsia="zh-CN"/>
        </w:rPr>
        <w:t>50%DD</w:t>
      </w:r>
      <w:r>
        <w:rPr>
          <w:rFonts w:hint="eastAsia" w:ascii="华文细黑" w:hAnsi="华文细黑" w:eastAsia="华文细黑" w:cs="Calibri"/>
          <w:sz w:val="22"/>
          <w:szCs w:val="22"/>
          <w:lang w:eastAsia="zh-CN"/>
        </w:rPr>
        <w:t>深度，包括确定的幕墙系统的初步分格和门窗表、结构扩初设计图纸。</w:t>
      </w:r>
    </w:p>
    <w:p>
      <w:pPr>
        <w:pStyle w:val="8"/>
        <w:numPr>
          <w:ilvl w:val="0"/>
          <w:numId w:val="6"/>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根据建筑图的幕墙分格尺寸确定所有幕墙系统的结构体系、固定方式、构件尺寸、玻璃构成。</w:t>
      </w:r>
    </w:p>
    <w:p>
      <w:pPr>
        <w:pStyle w:val="8"/>
        <w:numPr>
          <w:ilvl w:val="0"/>
          <w:numId w:val="6"/>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深化所有幕墙设计细节，解决任何外墙和其它顾问间在设计上产生的突出问题。与项目设计组和其它咨询顾问协调配合，确保所有技术要求和不同工种同步一致：</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建筑误差和结构位移</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建筑抗震</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防火要求</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隔音要求</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环境条件</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保温、隔热和节能</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排水系统</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消防排烟</w:t>
      </w:r>
      <w:r>
        <w:rPr>
          <w:rFonts w:ascii="华文细黑" w:hAnsi="华文细黑" w:eastAsia="华文细黑" w:cs="Calibri"/>
          <w:sz w:val="22"/>
          <w:szCs w:val="22"/>
          <w:lang w:eastAsia="zh-CN"/>
        </w:rPr>
        <w:t xml:space="preserve"> </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自然通风</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防雷接地</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幕墙的维护和清洁</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外立面的照明和标识</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广告灯箱</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内装修收口</w:t>
      </w:r>
    </w:p>
    <w:p>
      <w:pPr>
        <w:pStyle w:val="8"/>
        <w:numPr>
          <w:ilvl w:val="0"/>
          <w:numId w:val="7"/>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项目管理</w:t>
      </w:r>
      <w:r>
        <w:rPr>
          <w:rFonts w:ascii="华文细黑" w:hAnsi="华文细黑" w:eastAsia="华文细黑" w:cs="Calibri"/>
          <w:sz w:val="22"/>
          <w:szCs w:val="22"/>
          <w:lang w:eastAsia="zh-CN"/>
        </w:rPr>
        <w:t xml:space="preserve"> </w:t>
      </w:r>
    </w:p>
    <w:p>
      <w:pPr>
        <w:pStyle w:val="8"/>
        <w:numPr>
          <w:ilvl w:val="0"/>
          <w:numId w:val="6"/>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针对复杂的采光顶结构，提供基于BIM设计思路和方法的三维模型分析，以确保结构构件和面板尺寸的无缝对接。</w:t>
      </w:r>
    </w:p>
    <w:p>
      <w:pPr>
        <w:pStyle w:val="8"/>
        <w:numPr>
          <w:ilvl w:val="0"/>
          <w:numId w:val="6"/>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进一步深化各个幕墙系统的节点设计，提供</w:t>
      </w:r>
      <w:r>
        <w:rPr>
          <w:rFonts w:ascii="华文细黑" w:hAnsi="华文细黑" w:eastAsia="华文细黑" w:cs="Calibri"/>
          <w:sz w:val="22"/>
          <w:szCs w:val="22"/>
          <w:lang w:eastAsia="zh-CN"/>
        </w:rPr>
        <w:t>CAD</w:t>
      </w:r>
      <w:r>
        <w:rPr>
          <w:rFonts w:hint="eastAsia" w:ascii="华文细黑" w:hAnsi="华文细黑" w:eastAsia="华文细黑" w:cs="Calibri"/>
          <w:sz w:val="22"/>
          <w:szCs w:val="22"/>
          <w:lang w:eastAsia="zh-CN"/>
        </w:rPr>
        <w:t>形式的图纸，并整合到建筑设计中。</w:t>
      </w:r>
    </w:p>
    <w:p>
      <w:pPr>
        <w:pStyle w:val="8"/>
        <w:numPr>
          <w:ilvl w:val="0"/>
          <w:numId w:val="6"/>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根据客户及总包的总体工程进度计划，提供幕墙工程进度计划建议。</w:t>
      </w:r>
    </w:p>
    <w:p>
      <w:pPr>
        <w:pStyle w:val="8"/>
        <w:numPr>
          <w:ilvl w:val="0"/>
          <w:numId w:val="6"/>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协助设计院完成规范和法规要求的建筑设计送审材料的编制工作，提供幕墙专篇专业技术参数和说明。</w:t>
      </w:r>
    </w:p>
    <w:p>
      <w:pPr>
        <w:pStyle w:val="8"/>
        <w:numPr>
          <w:ilvl w:val="0"/>
          <w:numId w:val="6"/>
        </w:numPr>
        <w:spacing w:line="360" w:lineRule="auto"/>
        <w:rPr>
          <w:rFonts w:hint="eastAsia" w:ascii="华文细黑" w:hAnsi="华文细黑" w:eastAsia="华文细黑" w:cs="Calibri"/>
          <w:sz w:val="22"/>
          <w:szCs w:val="22"/>
          <w:lang w:eastAsia="zh-CN"/>
        </w:rPr>
      </w:pPr>
      <w:bookmarkStart w:id="25" w:name="_Hlk168311487"/>
      <w:r>
        <w:rPr>
          <w:rFonts w:hint="eastAsia" w:ascii="华文细黑" w:hAnsi="华文细黑" w:eastAsia="华文细黑" w:cs="Calibri"/>
          <w:sz w:val="22"/>
          <w:szCs w:val="22"/>
          <w:lang w:eastAsia="zh-CN"/>
        </w:rPr>
        <w:t>提供建议的幕墙材料供应商。提供幕墙造价预算，作为招标的基础。</w:t>
      </w:r>
      <w:bookmarkEnd w:id="25"/>
      <w:r>
        <w:rPr>
          <w:rFonts w:hint="eastAsia" w:ascii="华文细黑" w:hAnsi="华文细黑" w:eastAsia="华文细黑" w:cs="Calibri"/>
          <w:sz w:val="22"/>
          <w:szCs w:val="22"/>
          <w:lang w:eastAsia="zh-CN"/>
        </w:rPr>
        <w:t>针对设计好的幕墙系统协助客户或造价工程师的预算编制工作，如初步造价分析结果不能够满足客户预算要求，将会对所有幕墙系统进行重新优化设计使之达到预算要求。</w:t>
      </w:r>
    </w:p>
    <w:p>
      <w:pPr>
        <w:pStyle w:val="4"/>
        <w:numPr>
          <w:ilvl w:val="0"/>
          <w:numId w:val="4"/>
        </w:numPr>
        <w:tabs>
          <w:tab w:val="left" w:pos="902"/>
        </w:tabs>
        <w:spacing w:line="360" w:lineRule="auto"/>
        <w:ind w:left="902" w:hanging="482"/>
      </w:pPr>
      <w:bookmarkStart w:id="26" w:name="_Toc184645931"/>
      <w:r>
        <w:rPr>
          <w:rFonts w:hint="eastAsia"/>
        </w:rPr>
        <w:t>施工图阶段</w:t>
      </w:r>
      <w:r>
        <w:t>Construction Documentation Stage</w:t>
      </w:r>
      <w:bookmarkEnd w:id="26"/>
    </w:p>
    <w:p>
      <w:pPr>
        <w:pStyle w:val="8"/>
        <w:numPr>
          <w:ilvl w:val="0"/>
          <w:numId w:val="8"/>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制作一套完整的幕墙设计图纸。包括工作范围内所有系统的大样图、典型节点图以及非典型收口节点图，用以充分表达建筑设计意图。</w:t>
      </w:r>
    </w:p>
    <w:p>
      <w:pPr>
        <w:pStyle w:val="8"/>
        <w:numPr>
          <w:ilvl w:val="0"/>
          <w:numId w:val="8"/>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提供比例不超过</w:t>
      </w:r>
      <w:r>
        <w:rPr>
          <w:rFonts w:ascii="华文细黑" w:hAnsi="华文细黑" w:eastAsia="华文细黑" w:cs="Calibri"/>
          <w:sz w:val="22"/>
          <w:szCs w:val="22"/>
          <w:lang w:eastAsia="zh-CN"/>
        </w:rPr>
        <w:t>1</w:t>
      </w:r>
      <w:r>
        <w:rPr>
          <w:rFonts w:hint="eastAsia" w:ascii="华文细黑" w:hAnsi="华文细黑" w:eastAsia="华文细黑" w:cs="Calibri"/>
          <w:sz w:val="22"/>
          <w:szCs w:val="22"/>
          <w:lang w:eastAsia="zh-CN"/>
        </w:rPr>
        <w:t>：</w:t>
      </w:r>
      <w:r>
        <w:rPr>
          <w:rFonts w:ascii="华文细黑" w:hAnsi="华文细黑" w:eastAsia="华文细黑" w:cs="Calibri"/>
          <w:sz w:val="22"/>
          <w:szCs w:val="22"/>
          <w:lang w:eastAsia="zh-CN"/>
        </w:rPr>
        <w:t>50</w:t>
      </w:r>
      <w:r>
        <w:rPr>
          <w:rFonts w:hint="eastAsia" w:ascii="华文细黑" w:hAnsi="华文细黑" w:eastAsia="华文细黑" w:cs="Calibri"/>
          <w:sz w:val="22"/>
          <w:szCs w:val="22"/>
          <w:lang w:eastAsia="zh-CN"/>
        </w:rPr>
        <w:t>的（一般</w:t>
      </w:r>
      <w:r>
        <w:rPr>
          <w:rFonts w:ascii="华文细黑" w:hAnsi="华文细黑" w:eastAsia="华文细黑" w:cs="Calibri"/>
          <w:sz w:val="22"/>
          <w:szCs w:val="22"/>
          <w:lang w:eastAsia="zh-CN"/>
        </w:rPr>
        <w:t>1</w:t>
      </w:r>
      <w:r>
        <w:rPr>
          <w:rFonts w:hint="eastAsia" w:ascii="华文细黑" w:hAnsi="华文细黑" w:eastAsia="华文细黑" w:cs="Calibri"/>
          <w:sz w:val="22"/>
          <w:szCs w:val="22"/>
          <w:lang w:eastAsia="zh-CN"/>
        </w:rPr>
        <w:t>：</w:t>
      </w:r>
      <w:r>
        <w:rPr>
          <w:rFonts w:ascii="华文细黑" w:hAnsi="华文细黑" w:eastAsia="华文细黑" w:cs="Calibri"/>
          <w:sz w:val="22"/>
          <w:szCs w:val="22"/>
          <w:lang w:eastAsia="zh-CN"/>
        </w:rPr>
        <w:t>20</w:t>
      </w:r>
      <w:r>
        <w:rPr>
          <w:rFonts w:hint="eastAsia" w:ascii="华文细黑" w:hAnsi="华文细黑" w:eastAsia="华文细黑" w:cs="Calibri"/>
          <w:sz w:val="22"/>
          <w:szCs w:val="22"/>
          <w:lang w:eastAsia="zh-CN"/>
        </w:rPr>
        <w:t>或</w:t>
      </w:r>
      <w:r>
        <w:rPr>
          <w:rFonts w:ascii="华文细黑" w:hAnsi="华文细黑" w:eastAsia="华文细黑" w:cs="Calibri"/>
          <w:sz w:val="22"/>
          <w:szCs w:val="22"/>
          <w:lang w:eastAsia="zh-CN"/>
        </w:rPr>
        <w:t>1</w:t>
      </w:r>
      <w:r>
        <w:rPr>
          <w:rFonts w:hint="eastAsia" w:ascii="华文细黑" w:hAnsi="华文细黑" w:eastAsia="华文细黑" w:cs="Calibri"/>
          <w:sz w:val="22"/>
          <w:szCs w:val="22"/>
          <w:lang w:eastAsia="zh-CN"/>
        </w:rPr>
        <w:t>：</w:t>
      </w:r>
      <w:r>
        <w:rPr>
          <w:rFonts w:ascii="华文细黑" w:hAnsi="华文细黑" w:eastAsia="华文细黑" w:cs="Calibri"/>
          <w:sz w:val="22"/>
          <w:szCs w:val="22"/>
          <w:lang w:eastAsia="zh-CN"/>
        </w:rPr>
        <w:t>25</w:t>
      </w:r>
      <w:r>
        <w:rPr>
          <w:rFonts w:hint="eastAsia" w:ascii="华文细黑" w:hAnsi="华文细黑" w:eastAsia="华文细黑" w:cs="Calibri"/>
          <w:sz w:val="22"/>
          <w:szCs w:val="22"/>
          <w:lang w:eastAsia="zh-CN"/>
        </w:rPr>
        <w:t>）所有幕墙区域大样图，每一张大样图都包括相关的平面、立面和剖面。在大样图上索引并完成相应的比例不超过</w:t>
      </w:r>
      <w:r>
        <w:rPr>
          <w:rFonts w:ascii="华文细黑" w:hAnsi="华文细黑" w:eastAsia="华文细黑" w:cs="Calibri"/>
          <w:sz w:val="22"/>
          <w:szCs w:val="22"/>
          <w:lang w:eastAsia="zh-CN"/>
        </w:rPr>
        <w:t>1</w:t>
      </w:r>
      <w:r>
        <w:rPr>
          <w:rFonts w:hint="eastAsia" w:ascii="华文细黑" w:hAnsi="华文细黑" w:eastAsia="华文细黑" w:cs="Calibri"/>
          <w:sz w:val="22"/>
          <w:szCs w:val="22"/>
          <w:lang w:eastAsia="zh-CN"/>
        </w:rPr>
        <w:t>：5的（一般1：1或</w:t>
      </w:r>
      <w:r>
        <w:rPr>
          <w:rFonts w:ascii="华文细黑" w:hAnsi="华文细黑" w:eastAsia="华文细黑" w:cs="Calibri"/>
          <w:sz w:val="22"/>
          <w:szCs w:val="22"/>
          <w:lang w:eastAsia="zh-CN"/>
        </w:rPr>
        <w:t>1</w:t>
      </w:r>
      <w:r>
        <w:rPr>
          <w:rFonts w:hint="eastAsia" w:ascii="华文细黑" w:hAnsi="华文细黑" w:eastAsia="华文细黑" w:cs="Calibri"/>
          <w:sz w:val="22"/>
          <w:szCs w:val="22"/>
          <w:lang w:eastAsia="zh-CN"/>
        </w:rPr>
        <w:t>：</w:t>
      </w:r>
      <w:r>
        <w:rPr>
          <w:rFonts w:ascii="华文细黑" w:hAnsi="华文细黑" w:eastAsia="华文细黑" w:cs="Calibri"/>
          <w:sz w:val="22"/>
          <w:szCs w:val="22"/>
          <w:lang w:eastAsia="zh-CN"/>
        </w:rPr>
        <w:t>2</w:t>
      </w:r>
      <w:r>
        <w:rPr>
          <w:rFonts w:hint="eastAsia" w:ascii="华文细黑" w:hAnsi="华文细黑" w:eastAsia="华文细黑" w:cs="Calibri"/>
          <w:sz w:val="22"/>
          <w:szCs w:val="22"/>
          <w:lang w:eastAsia="zh-CN"/>
        </w:rPr>
        <w:t>）节点图。</w:t>
      </w:r>
    </w:p>
    <w:p>
      <w:pPr>
        <w:pStyle w:val="8"/>
        <w:numPr>
          <w:ilvl w:val="0"/>
          <w:numId w:val="8"/>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对于复杂的幕墙节点构造，将提供必要的辅助设计图纸如轴测图以求更加详细清楚的阐明设计意图。</w:t>
      </w:r>
    </w:p>
    <w:p>
      <w:pPr>
        <w:pStyle w:val="8"/>
        <w:numPr>
          <w:ilvl w:val="0"/>
          <w:numId w:val="8"/>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提供符合国家和当地规范标准的幕墙工程技术说明书，涵盖幕墙系统所有的组件和材料。详细列明对幕墙系统材料、性能、测试、制造、组装、运输、安装、清洁等的质量保证条款。同时技术说明书也将针对每一个幕墙系统阐述设计意图、技术特点、材料要求以方便承包商更清楚工作范围和工作内容。</w:t>
      </w:r>
    </w:p>
    <w:p>
      <w:pPr>
        <w:pStyle w:val="8"/>
        <w:numPr>
          <w:ilvl w:val="0"/>
          <w:numId w:val="8"/>
        </w:numPr>
        <w:spacing w:line="300" w:lineRule="auto"/>
        <w:rPr>
          <w:rFonts w:hint="eastAsia" w:ascii="华文细黑" w:hAnsi="华文细黑" w:eastAsia="华文细黑" w:cs="Calibri"/>
          <w:sz w:val="22"/>
          <w:szCs w:val="22"/>
          <w:lang w:eastAsia="zh-CN"/>
        </w:rPr>
      </w:pPr>
      <w:bookmarkStart w:id="27" w:name="_Hlk121681376"/>
      <w:r>
        <w:rPr>
          <w:rFonts w:hint="eastAsia" w:ascii="华文细黑" w:hAnsi="华文细黑" w:eastAsia="华文细黑" w:cs="Calibri"/>
          <w:sz w:val="22"/>
          <w:szCs w:val="22"/>
          <w:lang w:eastAsia="zh-CN"/>
        </w:rPr>
        <w:t>预埋件及后补锚栓设计</w:t>
      </w:r>
    </w:p>
    <w:p>
      <w:pPr>
        <w:pStyle w:val="8"/>
        <w:numPr>
          <w:ilvl w:val="0"/>
          <w:numId w:val="9"/>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与建筑师确认各个幕墙门窗系统的分格、固定形式和其他有可能影响该幕墙门窗设计的因素。</w:t>
      </w:r>
    </w:p>
    <w:p>
      <w:pPr>
        <w:pStyle w:val="8"/>
        <w:numPr>
          <w:ilvl w:val="0"/>
          <w:numId w:val="9"/>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经过结构计算分析，确定所有各个幕墙门窗系统的支座反力。</w:t>
      </w:r>
    </w:p>
    <w:p>
      <w:pPr>
        <w:pStyle w:val="8"/>
        <w:numPr>
          <w:ilvl w:val="0"/>
          <w:numId w:val="9"/>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与土建工程师协调有关预埋件位置与楼板的关系包括预埋件尺寸、形式和设计要求等，并与土建工程师确认该部位的荷载以确认该部位固定方案。</w:t>
      </w:r>
    </w:p>
    <w:p>
      <w:pPr>
        <w:pStyle w:val="8"/>
        <w:numPr>
          <w:ilvl w:val="0"/>
          <w:numId w:val="9"/>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根据荷载情况，设计不同的预埋件并进行计算。</w:t>
      </w:r>
    </w:p>
    <w:p>
      <w:pPr>
        <w:pStyle w:val="8"/>
        <w:numPr>
          <w:ilvl w:val="0"/>
          <w:numId w:val="9"/>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提供符合结构设计和当地规范的预埋件设计详图和埋件布置图。</w:t>
      </w:r>
    </w:p>
    <w:p>
      <w:pPr>
        <w:pStyle w:val="8"/>
        <w:numPr>
          <w:ilvl w:val="0"/>
          <w:numId w:val="9"/>
        </w:numPr>
        <w:spacing w:line="30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提供完整预埋进结果计算书。</w:t>
      </w:r>
    </w:p>
    <w:p>
      <w:pPr>
        <w:pStyle w:val="8"/>
        <w:spacing w:line="300" w:lineRule="auto"/>
        <w:rPr>
          <w:rFonts w:hint="eastAsia" w:ascii="华文细黑" w:hAnsi="华文细黑" w:eastAsia="华文细黑" w:cs="Calibri"/>
          <w:sz w:val="22"/>
          <w:szCs w:val="22"/>
          <w:lang w:eastAsia="zh-CN"/>
        </w:rPr>
      </w:pPr>
    </w:p>
    <w:bookmarkEnd w:id="27"/>
    <w:p>
      <w:pPr>
        <w:pStyle w:val="4"/>
        <w:numPr>
          <w:ilvl w:val="0"/>
          <w:numId w:val="4"/>
        </w:numPr>
        <w:tabs>
          <w:tab w:val="left" w:pos="902"/>
        </w:tabs>
        <w:spacing w:line="360" w:lineRule="auto"/>
        <w:ind w:left="902" w:hanging="482"/>
      </w:pPr>
      <w:bookmarkStart w:id="28" w:name="_Toc184645932"/>
      <w:r>
        <w:rPr>
          <w:rFonts w:hint="eastAsia"/>
        </w:rPr>
        <w:t>施工图送审阶段</w:t>
      </w:r>
      <w:bookmarkEnd w:id="28"/>
    </w:p>
    <w:p>
      <w:pPr>
        <w:pStyle w:val="8"/>
        <w:numPr>
          <w:ilvl w:val="0"/>
          <w:numId w:val="10"/>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bCs/>
          <w:sz w:val="22"/>
          <w:szCs w:val="22"/>
          <w:lang w:eastAsia="zh-CN"/>
        </w:rPr>
        <w:t>传承博华</w:t>
      </w:r>
      <w:r>
        <w:rPr>
          <w:rFonts w:hint="eastAsia" w:ascii="华文细黑" w:hAnsi="华文细黑" w:eastAsia="华文细黑" w:cs="Calibri"/>
          <w:sz w:val="22"/>
          <w:szCs w:val="22"/>
          <w:lang w:eastAsia="zh-CN"/>
        </w:rPr>
        <w:t>提供完整盖章的本工程幕墙施工图纸提交给专业审图公司进行施工图纸审核。</w:t>
      </w:r>
    </w:p>
    <w:p>
      <w:pPr>
        <w:pStyle w:val="8"/>
        <w:numPr>
          <w:ilvl w:val="0"/>
          <w:numId w:val="10"/>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协助业主完成施工图审图所需要的登记备案手续，包括仅仅用于审图备案使用的设计合同等等。</w:t>
      </w:r>
    </w:p>
    <w:p>
      <w:pPr>
        <w:pStyle w:val="8"/>
        <w:numPr>
          <w:ilvl w:val="0"/>
          <w:numId w:val="10"/>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负责与施工图审查机构的沟通协调，针对任何图纸审核意见进行修改，直至完成审核并通过。</w:t>
      </w:r>
    </w:p>
    <w:p>
      <w:pPr>
        <w:pStyle w:val="4"/>
        <w:numPr>
          <w:ilvl w:val="0"/>
          <w:numId w:val="4"/>
        </w:numPr>
        <w:tabs>
          <w:tab w:val="left" w:pos="902"/>
        </w:tabs>
        <w:spacing w:line="360" w:lineRule="auto"/>
        <w:ind w:left="902" w:hanging="482"/>
      </w:pPr>
      <w:bookmarkStart w:id="29" w:name="_Toc184645933"/>
      <w:r>
        <w:rPr>
          <w:rFonts w:hint="eastAsia"/>
        </w:rPr>
        <w:t>后期现场配合</w:t>
      </w:r>
      <w:bookmarkEnd w:id="29"/>
    </w:p>
    <w:p>
      <w:pPr>
        <w:pStyle w:val="8"/>
        <w:numPr>
          <w:ilvl w:val="0"/>
          <w:numId w:val="11"/>
        </w:numPr>
        <w:spacing w:line="360" w:lineRule="auto"/>
        <w:rPr>
          <w:rFonts w:hint="eastAsia" w:ascii="华文细黑" w:hAnsi="华文细黑" w:eastAsia="华文细黑" w:cs="Calibri"/>
          <w:sz w:val="22"/>
          <w:szCs w:val="22"/>
          <w:lang w:eastAsia="zh-CN"/>
        </w:rPr>
      </w:pPr>
      <w:r>
        <w:rPr>
          <w:rFonts w:hint="eastAsia" w:ascii="华文细黑" w:hAnsi="华文细黑" w:eastAsia="华文细黑" w:cs="Calibri"/>
          <w:sz w:val="22"/>
          <w:szCs w:val="22"/>
          <w:lang w:eastAsia="zh-CN"/>
        </w:rPr>
        <w:t>参加并监督模型性能测试，确认测试过程按批准的测试步骤进行。针对检测机构的测试结果进行审核，并对所有系统测试的结果作一份综合性报告。</w:t>
      </w:r>
    </w:p>
    <w:p>
      <w:pPr>
        <w:pStyle w:val="8"/>
        <w:numPr>
          <w:ilvl w:val="0"/>
          <w:numId w:val="11"/>
        </w:numPr>
        <w:spacing w:line="360" w:lineRule="auto"/>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在生产加工阶段定期对工厂进行视察，在</w:t>
      </w:r>
      <w:r>
        <w:rPr>
          <w:rFonts w:hint="eastAsia" w:ascii="华文细黑" w:hAnsi="华文细黑" w:eastAsia="华文细黑" w:cs="Calibri"/>
          <w:sz w:val="22"/>
          <w:szCs w:val="22"/>
          <w:lang w:eastAsia="zh-CN"/>
        </w:rPr>
        <w:t>施工安装</w:t>
      </w:r>
      <w:r>
        <w:rPr>
          <w:rFonts w:ascii="华文细黑" w:hAnsi="华文细黑" w:eastAsia="华文细黑" w:cs="Calibri"/>
          <w:sz w:val="22"/>
          <w:szCs w:val="22"/>
          <w:lang w:eastAsia="zh-CN"/>
        </w:rPr>
        <w:t>阶段定期到</w:t>
      </w:r>
      <w:r>
        <w:rPr>
          <w:rFonts w:hint="eastAsia" w:ascii="华文细黑" w:hAnsi="华文细黑" w:eastAsia="华文细黑" w:cs="Calibri"/>
          <w:sz w:val="22"/>
          <w:szCs w:val="22"/>
          <w:lang w:eastAsia="zh-CN"/>
        </w:rPr>
        <w:t>工地</w:t>
      </w:r>
      <w:r>
        <w:rPr>
          <w:rFonts w:ascii="华文细黑" w:hAnsi="华文细黑" w:eastAsia="华文细黑" w:cs="Calibri"/>
          <w:sz w:val="22"/>
          <w:szCs w:val="22"/>
          <w:lang w:eastAsia="zh-CN"/>
        </w:rPr>
        <w:t>进行视察，并在每次视察后递交详细的视察报告为项目备案。</w:t>
      </w:r>
    </w:p>
    <w:p>
      <w:pPr>
        <w:pStyle w:val="8"/>
        <w:numPr>
          <w:ilvl w:val="0"/>
          <w:numId w:val="11"/>
        </w:numPr>
        <w:spacing w:line="360" w:lineRule="auto"/>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见证并监督所有的现场测试，包括预埋件测试和现场淋水防漏测试</w:t>
      </w:r>
      <w:r>
        <w:rPr>
          <w:rFonts w:hint="eastAsia" w:ascii="华文细黑" w:hAnsi="华文细黑" w:eastAsia="华文细黑" w:cs="Calibri"/>
          <w:sz w:val="22"/>
          <w:szCs w:val="22"/>
          <w:lang w:eastAsia="zh-CN"/>
        </w:rPr>
        <w:t>等</w:t>
      </w:r>
      <w:r>
        <w:rPr>
          <w:rFonts w:ascii="华文细黑" w:hAnsi="华文细黑" w:eastAsia="华文细黑" w:cs="Calibri"/>
          <w:sz w:val="22"/>
          <w:szCs w:val="22"/>
          <w:lang w:eastAsia="zh-CN"/>
        </w:rPr>
        <w:t>等。</w:t>
      </w:r>
    </w:p>
    <w:p>
      <w:pPr>
        <w:pStyle w:val="8"/>
        <w:numPr>
          <w:ilvl w:val="0"/>
          <w:numId w:val="11"/>
        </w:numPr>
        <w:spacing w:line="360" w:lineRule="auto"/>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参加现场工程</w:t>
      </w:r>
      <w:r>
        <w:rPr>
          <w:rFonts w:hint="eastAsia" w:ascii="华文细黑" w:hAnsi="华文细黑" w:eastAsia="华文细黑" w:cs="Calibri"/>
          <w:sz w:val="22"/>
          <w:szCs w:val="22"/>
          <w:lang w:eastAsia="zh-CN"/>
        </w:rPr>
        <w:t>例会</w:t>
      </w:r>
      <w:r>
        <w:rPr>
          <w:rFonts w:ascii="华文细黑" w:hAnsi="华文细黑" w:eastAsia="华文细黑" w:cs="Calibri"/>
          <w:sz w:val="22"/>
          <w:szCs w:val="22"/>
          <w:lang w:eastAsia="zh-CN"/>
        </w:rPr>
        <w:t>，协助解决任何</w:t>
      </w:r>
      <w:r>
        <w:rPr>
          <w:rFonts w:hint="eastAsia" w:ascii="华文细黑" w:hAnsi="华文细黑" w:eastAsia="华文细黑" w:cs="Calibri"/>
          <w:sz w:val="22"/>
          <w:szCs w:val="22"/>
          <w:lang w:eastAsia="zh-CN"/>
        </w:rPr>
        <w:t>幕墙</w:t>
      </w:r>
      <w:r>
        <w:rPr>
          <w:rFonts w:ascii="华文细黑" w:hAnsi="华文细黑" w:eastAsia="华文细黑" w:cs="Calibri"/>
          <w:sz w:val="22"/>
          <w:szCs w:val="22"/>
          <w:lang w:eastAsia="zh-CN"/>
        </w:rPr>
        <w:t>工程问题</w:t>
      </w:r>
      <w:r>
        <w:rPr>
          <w:rFonts w:hint="eastAsia" w:ascii="华文细黑" w:hAnsi="华文细黑" w:eastAsia="华文细黑" w:cs="Calibri"/>
          <w:sz w:val="22"/>
          <w:szCs w:val="22"/>
          <w:lang w:eastAsia="zh-CN"/>
        </w:rPr>
        <w:t>。</w:t>
      </w:r>
    </w:p>
    <w:p>
      <w:pPr>
        <w:pStyle w:val="8"/>
        <w:numPr>
          <w:ilvl w:val="0"/>
          <w:numId w:val="11"/>
        </w:numPr>
        <w:spacing w:line="360" w:lineRule="auto"/>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协助客户审核任何可能的由承包商提出的设计调整要求，</w:t>
      </w:r>
      <w:r>
        <w:rPr>
          <w:rFonts w:hint="eastAsia" w:ascii="华文细黑" w:hAnsi="华文细黑" w:eastAsia="华文细黑" w:cs="Calibri"/>
          <w:sz w:val="22"/>
          <w:szCs w:val="22"/>
          <w:lang w:eastAsia="zh-CN"/>
        </w:rPr>
        <w:t>判别此设计调整产生的附加费用和时间的合理性，寻找任何减低费用和时间的替代方案，进行动态成本控制</w:t>
      </w:r>
      <w:r>
        <w:rPr>
          <w:rFonts w:ascii="华文细黑" w:hAnsi="华文细黑" w:eastAsia="华文细黑" w:cs="Calibri"/>
          <w:sz w:val="22"/>
          <w:szCs w:val="22"/>
          <w:lang w:eastAsia="zh-CN"/>
        </w:rPr>
        <w:t>。</w:t>
      </w:r>
    </w:p>
    <w:p>
      <w:pPr>
        <w:pStyle w:val="8"/>
        <w:numPr>
          <w:ilvl w:val="0"/>
          <w:numId w:val="11"/>
        </w:numPr>
        <w:spacing w:line="360" w:lineRule="auto"/>
        <w:rPr>
          <w:rFonts w:hint="eastAsia" w:ascii="华文细黑" w:hAnsi="华文细黑" w:eastAsia="华文细黑" w:cs="Calibri"/>
          <w:sz w:val="22"/>
          <w:szCs w:val="22"/>
          <w:lang w:eastAsia="zh-CN"/>
        </w:rPr>
      </w:pPr>
      <w:r>
        <w:rPr>
          <w:rFonts w:ascii="华文细黑" w:hAnsi="华文细黑" w:eastAsia="华文细黑" w:cs="Calibri"/>
          <w:sz w:val="22"/>
          <w:szCs w:val="22"/>
          <w:lang w:eastAsia="zh-CN"/>
        </w:rPr>
        <w:t>施工完成后参与客户发起的竣工验收，向客户提供详细竣工视察报告记录任何需要修补或改进的地方，并以此为依据提请承包商进行整改。</w:t>
      </w:r>
    </w:p>
    <w:p>
      <w:pPr>
        <w:rPr>
          <w:rFonts w:hint="eastAsia" w:ascii="华文细黑" w:hAnsi="华文细黑" w:eastAsia="华文细黑"/>
          <w:lang w:eastAsia="zh-CN"/>
        </w:rPr>
      </w:pPr>
    </w:p>
    <w:sectPr>
      <w:headerReference r:id="rId3" w:type="default"/>
      <w:footerReference r:id="rId4" w:type="default"/>
      <w:pgSz w:w="11907" w:h="16840"/>
      <w:pgMar w:top="1418" w:right="851" w:bottom="851" w:left="1418" w:header="850" w:footer="851" w:gutter="0"/>
      <w:pgNumType w:start="1"/>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细黑">
    <w:altName w:val="微软雅黑"/>
    <w:panose1 w:val="02010600040101010101"/>
    <w:charset w:val="86"/>
    <w:family w:val="auto"/>
    <w:pitch w:val="default"/>
    <w:sig w:usb0="00000000" w:usb1="00000000" w:usb2="00000010" w:usb3="00000000" w:csb0="0004009F" w:csb1="00000000"/>
  </w:font>
  <w:font w:name="+mn-cs">
    <w:altName w:val="Segoe Print"/>
    <w:panose1 w:val="00000000000000000000"/>
    <w:charset w:val="00"/>
    <w:family w:val="roma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Hiragino Sans GB W6">
    <w:altName w:val="微软雅黑"/>
    <w:panose1 w:val="00000000000000000000"/>
    <w:charset w:val="86"/>
    <w:family w:val="swiss"/>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思源宋体">
    <w:altName w:val="宋体"/>
    <w:panose1 w:val="00000000000000000000"/>
    <w:charset w:val="86"/>
    <w:family w:val="roman"/>
    <w:pitch w:val="default"/>
    <w:sig w:usb0="00000000" w:usb1="00000000" w:usb2="00000016" w:usb3="00000000" w:csb0="002E0107"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382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A7F00"/>
    <w:multiLevelType w:val="multilevel"/>
    <w:tmpl w:val="0EDA7F00"/>
    <w:lvl w:ilvl="0" w:tentative="0">
      <w:start w:val="1"/>
      <w:numFmt w:val="decimal"/>
      <w:lvlText w:val="%1."/>
      <w:lvlJc w:val="left"/>
      <w:pPr>
        <w:tabs>
          <w:tab w:val="left" w:pos="964"/>
        </w:tabs>
        <w:ind w:left="964" w:hanging="482"/>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FA85D5C"/>
    <w:multiLevelType w:val="multilevel"/>
    <w:tmpl w:val="0FA85D5C"/>
    <w:lvl w:ilvl="0" w:tentative="0">
      <w:start w:val="1"/>
      <w:numFmt w:val="decimal"/>
      <w:lvlText w:val="%1."/>
      <w:lvlJc w:val="left"/>
      <w:pPr>
        <w:tabs>
          <w:tab w:val="left" w:pos="964"/>
        </w:tabs>
        <w:ind w:left="964" w:hanging="482"/>
      </w:pPr>
      <w:rPr>
        <w:rFonts w:hint="eastAsia"/>
      </w:rPr>
    </w:lvl>
    <w:lvl w:ilvl="1" w:tentative="0">
      <w:start w:val="1"/>
      <w:numFmt w:val="lowerLetter"/>
      <w:lvlText w:val="%2)"/>
      <w:lvlJc w:val="left"/>
      <w:pPr>
        <w:ind w:left="1742" w:hanging="420"/>
      </w:pPr>
    </w:lvl>
    <w:lvl w:ilvl="2" w:tentative="0">
      <w:start w:val="1"/>
      <w:numFmt w:val="lowerRoman"/>
      <w:lvlText w:val="%3."/>
      <w:lvlJc w:val="right"/>
      <w:pPr>
        <w:ind w:left="2162" w:hanging="420"/>
      </w:pPr>
    </w:lvl>
    <w:lvl w:ilvl="3" w:tentative="0">
      <w:start w:val="1"/>
      <w:numFmt w:val="decimal"/>
      <w:lvlText w:val="%4."/>
      <w:lvlJc w:val="left"/>
      <w:pPr>
        <w:ind w:left="2582" w:hanging="420"/>
      </w:pPr>
    </w:lvl>
    <w:lvl w:ilvl="4" w:tentative="0">
      <w:start w:val="1"/>
      <w:numFmt w:val="lowerLetter"/>
      <w:lvlText w:val="%5)"/>
      <w:lvlJc w:val="left"/>
      <w:pPr>
        <w:ind w:left="3002" w:hanging="420"/>
      </w:pPr>
    </w:lvl>
    <w:lvl w:ilvl="5" w:tentative="0">
      <w:start w:val="1"/>
      <w:numFmt w:val="lowerRoman"/>
      <w:lvlText w:val="%6."/>
      <w:lvlJc w:val="right"/>
      <w:pPr>
        <w:ind w:left="3422" w:hanging="420"/>
      </w:pPr>
    </w:lvl>
    <w:lvl w:ilvl="6" w:tentative="0">
      <w:start w:val="1"/>
      <w:numFmt w:val="decimal"/>
      <w:lvlText w:val="%7."/>
      <w:lvlJc w:val="left"/>
      <w:pPr>
        <w:ind w:left="3842" w:hanging="420"/>
      </w:pPr>
    </w:lvl>
    <w:lvl w:ilvl="7" w:tentative="0">
      <w:start w:val="1"/>
      <w:numFmt w:val="lowerLetter"/>
      <w:lvlText w:val="%8)"/>
      <w:lvlJc w:val="left"/>
      <w:pPr>
        <w:ind w:left="4262" w:hanging="420"/>
      </w:pPr>
    </w:lvl>
    <w:lvl w:ilvl="8" w:tentative="0">
      <w:start w:val="1"/>
      <w:numFmt w:val="lowerRoman"/>
      <w:lvlText w:val="%9."/>
      <w:lvlJc w:val="right"/>
      <w:pPr>
        <w:ind w:left="4682" w:hanging="420"/>
      </w:pPr>
    </w:lvl>
  </w:abstractNum>
  <w:abstractNum w:abstractNumId="2">
    <w:nsid w:val="1ADA4872"/>
    <w:multiLevelType w:val="multilevel"/>
    <w:tmpl w:val="1ADA4872"/>
    <w:lvl w:ilvl="0" w:tentative="0">
      <w:start w:val="1"/>
      <w:numFmt w:val="bullet"/>
      <w:lvlText w:val=""/>
      <w:lvlJc w:val="left"/>
      <w:pPr>
        <w:ind w:left="1384" w:hanging="420"/>
      </w:pPr>
      <w:rPr>
        <w:rFonts w:hint="default" w:ascii="Wingdings" w:hAnsi="Wingdings"/>
      </w:rPr>
    </w:lvl>
    <w:lvl w:ilvl="1" w:tentative="0">
      <w:start w:val="1"/>
      <w:numFmt w:val="bullet"/>
      <w:lvlText w:val=""/>
      <w:lvlJc w:val="left"/>
      <w:pPr>
        <w:ind w:left="1804" w:hanging="420"/>
      </w:pPr>
      <w:rPr>
        <w:rFonts w:hint="default" w:ascii="Wingdings" w:hAnsi="Wingdings"/>
      </w:rPr>
    </w:lvl>
    <w:lvl w:ilvl="2" w:tentative="0">
      <w:start w:val="1"/>
      <w:numFmt w:val="bullet"/>
      <w:lvlText w:val=""/>
      <w:lvlJc w:val="left"/>
      <w:pPr>
        <w:ind w:left="2224" w:hanging="420"/>
      </w:pPr>
      <w:rPr>
        <w:rFonts w:hint="default" w:ascii="Wingdings" w:hAnsi="Wingdings"/>
      </w:rPr>
    </w:lvl>
    <w:lvl w:ilvl="3" w:tentative="0">
      <w:start w:val="1"/>
      <w:numFmt w:val="bullet"/>
      <w:lvlText w:val=""/>
      <w:lvlJc w:val="left"/>
      <w:pPr>
        <w:ind w:left="2644" w:hanging="420"/>
      </w:pPr>
      <w:rPr>
        <w:rFonts w:hint="default" w:ascii="Wingdings" w:hAnsi="Wingdings"/>
      </w:rPr>
    </w:lvl>
    <w:lvl w:ilvl="4" w:tentative="0">
      <w:start w:val="1"/>
      <w:numFmt w:val="bullet"/>
      <w:lvlText w:val=""/>
      <w:lvlJc w:val="left"/>
      <w:pPr>
        <w:ind w:left="3064" w:hanging="420"/>
      </w:pPr>
      <w:rPr>
        <w:rFonts w:hint="default" w:ascii="Wingdings" w:hAnsi="Wingdings"/>
      </w:rPr>
    </w:lvl>
    <w:lvl w:ilvl="5" w:tentative="0">
      <w:start w:val="1"/>
      <w:numFmt w:val="bullet"/>
      <w:lvlText w:val=""/>
      <w:lvlJc w:val="left"/>
      <w:pPr>
        <w:ind w:left="3484" w:hanging="420"/>
      </w:pPr>
      <w:rPr>
        <w:rFonts w:hint="default" w:ascii="Wingdings" w:hAnsi="Wingdings"/>
      </w:rPr>
    </w:lvl>
    <w:lvl w:ilvl="6" w:tentative="0">
      <w:start w:val="1"/>
      <w:numFmt w:val="bullet"/>
      <w:lvlText w:val=""/>
      <w:lvlJc w:val="left"/>
      <w:pPr>
        <w:ind w:left="3904" w:hanging="420"/>
      </w:pPr>
      <w:rPr>
        <w:rFonts w:hint="default" w:ascii="Wingdings" w:hAnsi="Wingdings"/>
      </w:rPr>
    </w:lvl>
    <w:lvl w:ilvl="7" w:tentative="0">
      <w:start w:val="1"/>
      <w:numFmt w:val="bullet"/>
      <w:lvlText w:val=""/>
      <w:lvlJc w:val="left"/>
      <w:pPr>
        <w:ind w:left="4324" w:hanging="420"/>
      </w:pPr>
      <w:rPr>
        <w:rFonts w:hint="default" w:ascii="Wingdings" w:hAnsi="Wingdings"/>
      </w:rPr>
    </w:lvl>
    <w:lvl w:ilvl="8" w:tentative="0">
      <w:start w:val="1"/>
      <w:numFmt w:val="bullet"/>
      <w:lvlText w:val=""/>
      <w:lvlJc w:val="left"/>
      <w:pPr>
        <w:ind w:left="4744" w:hanging="420"/>
      </w:pPr>
      <w:rPr>
        <w:rFonts w:hint="default" w:ascii="Wingdings" w:hAnsi="Wingdings"/>
      </w:rPr>
    </w:lvl>
  </w:abstractNum>
  <w:abstractNum w:abstractNumId="3">
    <w:nsid w:val="31041130"/>
    <w:multiLevelType w:val="multilevel"/>
    <w:tmpl w:val="31041130"/>
    <w:lvl w:ilvl="0" w:tentative="0">
      <w:start w:val="1"/>
      <w:numFmt w:val="decimal"/>
      <w:lvlText w:val="%1."/>
      <w:lvlJc w:val="left"/>
      <w:pPr>
        <w:tabs>
          <w:tab w:val="left" w:pos="964"/>
        </w:tabs>
        <w:ind w:left="964" w:hanging="482"/>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3493CB4"/>
    <w:multiLevelType w:val="multilevel"/>
    <w:tmpl w:val="33493CB4"/>
    <w:lvl w:ilvl="0" w:tentative="0">
      <w:start w:val="1"/>
      <w:numFmt w:val="decimal"/>
      <w:lvlText w:val="%1."/>
      <w:lvlJc w:val="left"/>
      <w:pPr>
        <w:tabs>
          <w:tab w:val="left" w:pos="964"/>
        </w:tabs>
        <w:ind w:left="964" w:hanging="482"/>
      </w:pPr>
      <w:rPr>
        <w:rFonts w:hint="eastAsia"/>
      </w:rPr>
    </w:lvl>
    <w:lvl w:ilvl="1" w:tentative="0">
      <w:start w:val="1"/>
      <w:numFmt w:val="lowerLetter"/>
      <w:lvlText w:val="%2)"/>
      <w:lvlJc w:val="left"/>
      <w:pPr>
        <w:ind w:left="1742" w:hanging="420"/>
      </w:pPr>
    </w:lvl>
    <w:lvl w:ilvl="2" w:tentative="0">
      <w:start w:val="1"/>
      <w:numFmt w:val="lowerRoman"/>
      <w:lvlText w:val="%3."/>
      <w:lvlJc w:val="right"/>
      <w:pPr>
        <w:ind w:left="2162" w:hanging="420"/>
      </w:pPr>
    </w:lvl>
    <w:lvl w:ilvl="3" w:tentative="0">
      <w:start w:val="1"/>
      <w:numFmt w:val="decimal"/>
      <w:lvlText w:val="%4."/>
      <w:lvlJc w:val="left"/>
      <w:pPr>
        <w:ind w:left="2582" w:hanging="420"/>
      </w:pPr>
    </w:lvl>
    <w:lvl w:ilvl="4" w:tentative="0">
      <w:start w:val="1"/>
      <w:numFmt w:val="lowerLetter"/>
      <w:lvlText w:val="%5)"/>
      <w:lvlJc w:val="left"/>
      <w:pPr>
        <w:ind w:left="3002" w:hanging="420"/>
      </w:pPr>
    </w:lvl>
    <w:lvl w:ilvl="5" w:tentative="0">
      <w:start w:val="1"/>
      <w:numFmt w:val="lowerRoman"/>
      <w:lvlText w:val="%6."/>
      <w:lvlJc w:val="right"/>
      <w:pPr>
        <w:ind w:left="3422" w:hanging="420"/>
      </w:pPr>
    </w:lvl>
    <w:lvl w:ilvl="6" w:tentative="0">
      <w:start w:val="1"/>
      <w:numFmt w:val="decimal"/>
      <w:lvlText w:val="%7."/>
      <w:lvlJc w:val="left"/>
      <w:pPr>
        <w:ind w:left="3842" w:hanging="420"/>
      </w:pPr>
    </w:lvl>
    <w:lvl w:ilvl="7" w:tentative="0">
      <w:start w:val="1"/>
      <w:numFmt w:val="lowerLetter"/>
      <w:lvlText w:val="%8)"/>
      <w:lvlJc w:val="left"/>
      <w:pPr>
        <w:ind w:left="4262" w:hanging="420"/>
      </w:pPr>
    </w:lvl>
    <w:lvl w:ilvl="8" w:tentative="0">
      <w:start w:val="1"/>
      <w:numFmt w:val="lowerRoman"/>
      <w:lvlText w:val="%9."/>
      <w:lvlJc w:val="right"/>
      <w:pPr>
        <w:ind w:left="4682" w:hanging="420"/>
      </w:pPr>
    </w:lvl>
  </w:abstractNum>
  <w:abstractNum w:abstractNumId="5">
    <w:nsid w:val="45A070A1"/>
    <w:multiLevelType w:val="singleLevel"/>
    <w:tmpl w:val="45A070A1"/>
    <w:lvl w:ilvl="0" w:tentative="0">
      <w:start w:val="2"/>
      <w:numFmt w:val="decimal"/>
      <w:suff w:val="nothing"/>
      <w:lvlText w:val="%1、"/>
      <w:lvlJc w:val="left"/>
    </w:lvl>
  </w:abstractNum>
  <w:abstractNum w:abstractNumId="6">
    <w:nsid w:val="4C743044"/>
    <w:multiLevelType w:val="multilevel"/>
    <w:tmpl w:val="4C743044"/>
    <w:lvl w:ilvl="0" w:tentative="0">
      <w:start w:val="1"/>
      <w:numFmt w:val="decimal"/>
      <w:lvlText w:val="%1."/>
      <w:lvlJc w:val="left"/>
      <w:pPr>
        <w:tabs>
          <w:tab w:val="left" w:pos="964"/>
        </w:tabs>
        <w:ind w:left="964" w:hanging="482"/>
      </w:pPr>
      <w:rPr>
        <w:rFonts w:hint="eastAsia"/>
      </w:rPr>
    </w:lvl>
    <w:lvl w:ilvl="1" w:tentative="0">
      <w:start w:val="1"/>
      <w:numFmt w:val="lowerLetter"/>
      <w:lvlText w:val="%2)"/>
      <w:lvlJc w:val="left"/>
      <w:pPr>
        <w:ind w:left="1742" w:hanging="420"/>
      </w:pPr>
    </w:lvl>
    <w:lvl w:ilvl="2" w:tentative="0">
      <w:start w:val="1"/>
      <w:numFmt w:val="lowerRoman"/>
      <w:lvlText w:val="%3."/>
      <w:lvlJc w:val="right"/>
      <w:pPr>
        <w:ind w:left="2162" w:hanging="420"/>
      </w:pPr>
    </w:lvl>
    <w:lvl w:ilvl="3" w:tentative="0">
      <w:start w:val="1"/>
      <w:numFmt w:val="decimal"/>
      <w:lvlText w:val="%4."/>
      <w:lvlJc w:val="left"/>
      <w:pPr>
        <w:ind w:left="2582" w:hanging="420"/>
      </w:pPr>
    </w:lvl>
    <w:lvl w:ilvl="4" w:tentative="0">
      <w:start w:val="1"/>
      <w:numFmt w:val="lowerLetter"/>
      <w:lvlText w:val="%5)"/>
      <w:lvlJc w:val="left"/>
      <w:pPr>
        <w:ind w:left="3002" w:hanging="420"/>
      </w:pPr>
    </w:lvl>
    <w:lvl w:ilvl="5" w:tentative="0">
      <w:start w:val="1"/>
      <w:numFmt w:val="lowerRoman"/>
      <w:lvlText w:val="%6."/>
      <w:lvlJc w:val="right"/>
      <w:pPr>
        <w:ind w:left="3422" w:hanging="420"/>
      </w:pPr>
    </w:lvl>
    <w:lvl w:ilvl="6" w:tentative="0">
      <w:start w:val="1"/>
      <w:numFmt w:val="decimal"/>
      <w:lvlText w:val="%7."/>
      <w:lvlJc w:val="left"/>
      <w:pPr>
        <w:ind w:left="3842" w:hanging="420"/>
      </w:pPr>
    </w:lvl>
    <w:lvl w:ilvl="7" w:tentative="0">
      <w:start w:val="1"/>
      <w:numFmt w:val="lowerLetter"/>
      <w:lvlText w:val="%8)"/>
      <w:lvlJc w:val="left"/>
      <w:pPr>
        <w:ind w:left="4262" w:hanging="420"/>
      </w:pPr>
    </w:lvl>
    <w:lvl w:ilvl="8" w:tentative="0">
      <w:start w:val="1"/>
      <w:numFmt w:val="lowerRoman"/>
      <w:lvlText w:val="%9."/>
      <w:lvlJc w:val="right"/>
      <w:pPr>
        <w:ind w:left="4682" w:hanging="420"/>
      </w:pPr>
    </w:lvl>
  </w:abstractNum>
  <w:abstractNum w:abstractNumId="7">
    <w:nsid w:val="513E105F"/>
    <w:multiLevelType w:val="multilevel"/>
    <w:tmpl w:val="513E105F"/>
    <w:lvl w:ilvl="0" w:tentative="0">
      <w:start w:val="1"/>
      <w:numFmt w:val="decimal"/>
      <w:lvlText w:val="%1"/>
      <w:lvlJc w:val="left"/>
      <w:pPr>
        <w:ind w:left="900" w:hanging="420"/>
      </w:pPr>
      <w:rPr>
        <w:rFonts w:hint="eastAsia"/>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
    <w:nsid w:val="5F8824CA"/>
    <w:multiLevelType w:val="multilevel"/>
    <w:tmpl w:val="5F8824CA"/>
    <w:lvl w:ilvl="0" w:tentative="0">
      <w:start w:val="1"/>
      <w:numFmt w:val="decimal"/>
      <w:lvlText w:val="%1.0"/>
      <w:lvlJc w:val="left"/>
      <w:pPr>
        <w:ind w:left="482" w:hanging="48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FF452C5"/>
    <w:multiLevelType w:val="multilevel"/>
    <w:tmpl w:val="5FF452C5"/>
    <w:lvl w:ilvl="0" w:tentative="0">
      <w:start w:val="1"/>
      <w:numFmt w:val="decimal"/>
      <w:lvlText w:val="3.%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7E794301"/>
    <w:multiLevelType w:val="multilevel"/>
    <w:tmpl w:val="7E794301"/>
    <w:lvl w:ilvl="0" w:tentative="0">
      <w:start w:val="1"/>
      <w:numFmt w:val="bullet"/>
      <w:lvlText w:val="•"/>
      <w:lvlJc w:val="left"/>
      <w:pPr>
        <w:ind w:left="1384" w:hanging="420"/>
      </w:pPr>
      <w:rPr>
        <w:rFonts w:hint="default" w:ascii="宋体" w:hAnsi="宋体"/>
      </w:rPr>
    </w:lvl>
    <w:lvl w:ilvl="1" w:tentative="0">
      <w:start w:val="1"/>
      <w:numFmt w:val="bullet"/>
      <w:lvlText w:val=""/>
      <w:lvlJc w:val="left"/>
      <w:pPr>
        <w:ind w:left="1804" w:hanging="420"/>
      </w:pPr>
      <w:rPr>
        <w:rFonts w:hint="default" w:ascii="Wingdings" w:hAnsi="Wingdings"/>
      </w:rPr>
    </w:lvl>
    <w:lvl w:ilvl="2" w:tentative="0">
      <w:start w:val="1"/>
      <w:numFmt w:val="bullet"/>
      <w:lvlText w:val=""/>
      <w:lvlJc w:val="left"/>
      <w:pPr>
        <w:ind w:left="2224" w:hanging="420"/>
      </w:pPr>
      <w:rPr>
        <w:rFonts w:hint="default" w:ascii="Wingdings" w:hAnsi="Wingdings"/>
      </w:rPr>
    </w:lvl>
    <w:lvl w:ilvl="3" w:tentative="0">
      <w:start w:val="1"/>
      <w:numFmt w:val="bullet"/>
      <w:lvlText w:val=""/>
      <w:lvlJc w:val="left"/>
      <w:pPr>
        <w:ind w:left="2644" w:hanging="420"/>
      </w:pPr>
      <w:rPr>
        <w:rFonts w:hint="default" w:ascii="Wingdings" w:hAnsi="Wingdings"/>
      </w:rPr>
    </w:lvl>
    <w:lvl w:ilvl="4" w:tentative="0">
      <w:start w:val="1"/>
      <w:numFmt w:val="bullet"/>
      <w:lvlText w:val=""/>
      <w:lvlJc w:val="left"/>
      <w:pPr>
        <w:ind w:left="3064" w:hanging="420"/>
      </w:pPr>
      <w:rPr>
        <w:rFonts w:hint="default" w:ascii="Wingdings" w:hAnsi="Wingdings"/>
      </w:rPr>
    </w:lvl>
    <w:lvl w:ilvl="5" w:tentative="0">
      <w:start w:val="1"/>
      <w:numFmt w:val="bullet"/>
      <w:lvlText w:val=""/>
      <w:lvlJc w:val="left"/>
      <w:pPr>
        <w:ind w:left="3484" w:hanging="420"/>
      </w:pPr>
      <w:rPr>
        <w:rFonts w:hint="default" w:ascii="Wingdings" w:hAnsi="Wingdings"/>
      </w:rPr>
    </w:lvl>
    <w:lvl w:ilvl="6" w:tentative="0">
      <w:start w:val="1"/>
      <w:numFmt w:val="bullet"/>
      <w:lvlText w:val=""/>
      <w:lvlJc w:val="left"/>
      <w:pPr>
        <w:ind w:left="3904" w:hanging="420"/>
      </w:pPr>
      <w:rPr>
        <w:rFonts w:hint="default" w:ascii="Wingdings" w:hAnsi="Wingdings"/>
      </w:rPr>
    </w:lvl>
    <w:lvl w:ilvl="7" w:tentative="0">
      <w:start w:val="1"/>
      <w:numFmt w:val="bullet"/>
      <w:lvlText w:val=""/>
      <w:lvlJc w:val="left"/>
      <w:pPr>
        <w:ind w:left="4324" w:hanging="420"/>
      </w:pPr>
      <w:rPr>
        <w:rFonts w:hint="default" w:ascii="Wingdings" w:hAnsi="Wingdings"/>
      </w:rPr>
    </w:lvl>
    <w:lvl w:ilvl="8" w:tentative="0">
      <w:start w:val="1"/>
      <w:numFmt w:val="bullet"/>
      <w:lvlText w:val=""/>
      <w:lvlJc w:val="left"/>
      <w:pPr>
        <w:ind w:left="4744" w:hanging="420"/>
      </w:pPr>
      <w:rPr>
        <w:rFonts w:hint="default" w:ascii="Wingdings" w:hAnsi="Wingdings"/>
      </w:rPr>
    </w:lvl>
  </w:abstractNum>
  <w:num w:numId="1">
    <w:abstractNumId w:val="8"/>
  </w:num>
  <w:num w:numId="2">
    <w:abstractNumId w:val="5"/>
  </w:num>
  <w:num w:numId="3">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4"/>
  </w:num>
  <w:num w:numId="7">
    <w:abstractNumId w:val="10"/>
  </w:num>
  <w:num w:numId="8">
    <w:abstractNumId w:val="1"/>
  </w:num>
  <w:num w:numId="9">
    <w:abstractNumId w:val="2"/>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NmM2I0ZWZkNWJiNzM2NTI0OGNmMDViMjdlOGRiM2QifQ=="/>
  </w:docVars>
  <w:rsids>
    <w:rsidRoot w:val="00B36569"/>
    <w:rsid w:val="00000131"/>
    <w:rsid w:val="0000064E"/>
    <w:rsid w:val="00003237"/>
    <w:rsid w:val="00006289"/>
    <w:rsid w:val="00011568"/>
    <w:rsid w:val="00011F76"/>
    <w:rsid w:val="00015569"/>
    <w:rsid w:val="00023EE5"/>
    <w:rsid w:val="00025802"/>
    <w:rsid w:val="00027CE8"/>
    <w:rsid w:val="00034F34"/>
    <w:rsid w:val="00042D5B"/>
    <w:rsid w:val="00046099"/>
    <w:rsid w:val="00066497"/>
    <w:rsid w:val="00081EB1"/>
    <w:rsid w:val="00082463"/>
    <w:rsid w:val="000834C7"/>
    <w:rsid w:val="00090071"/>
    <w:rsid w:val="00094556"/>
    <w:rsid w:val="000A0100"/>
    <w:rsid w:val="000A3905"/>
    <w:rsid w:val="000A582A"/>
    <w:rsid w:val="000B63B7"/>
    <w:rsid w:val="000C31B9"/>
    <w:rsid w:val="000D3764"/>
    <w:rsid w:val="000F3A18"/>
    <w:rsid w:val="000F66AC"/>
    <w:rsid w:val="00104AB3"/>
    <w:rsid w:val="00106560"/>
    <w:rsid w:val="00110B87"/>
    <w:rsid w:val="00113C69"/>
    <w:rsid w:val="0012580E"/>
    <w:rsid w:val="001307EC"/>
    <w:rsid w:val="001438C1"/>
    <w:rsid w:val="00146C6D"/>
    <w:rsid w:val="001711FB"/>
    <w:rsid w:val="0017397A"/>
    <w:rsid w:val="00175A2A"/>
    <w:rsid w:val="001874DE"/>
    <w:rsid w:val="00197DE0"/>
    <w:rsid w:val="001A1D1F"/>
    <w:rsid w:val="001A4488"/>
    <w:rsid w:val="001A567F"/>
    <w:rsid w:val="001B0D60"/>
    <w:rsid w:val="001B7953"/>
    <w:rsid w:val="001C4E08"/>
    <w:rsid w:val="001C5E5B"/>
    <w:rsid w:val="001C6F8F"/>
    <w:rsid w:val="001C7727"/>
    <w:rsid w:val="001E31C2"/>
    <w:rsid w:val="001E60D0"/>
    <w:rsid w:val="001E6E5D"/>
    <w:rsid w:val="001E7050"/>
    <w:rsid w:val="001F6C21"/>
    <w:rsid w:val="001F7DB8"/>
    <w:rsid w:val="002313BD"/>
    <w:rsid w:val="00235235"/>
    <w:rsid w:val="002469E7"/>
    <w:rsid w:val="0025343A"/>
    <w:rsid w:val="00255021"/>
    <w:rsid w:val="0026429F"/>
    <w:rsid w:val="0026440B"/>
    <w:rsid w:val="00273C3F"/>
    <w:rsid w:val="002909F2"/>
    <w:rsid w:val="00295CEA"/>
    <w:rsid w:val="002A02B7"/>
    <w:rsid w:val="002A30AF"/>
    <w:rsid w:val="002C5CC5"/>
    <w:rsid w:val="002D09F4"/>
    <w:rsid w:val="002D225A"/>
    <w:rsid w:val="002D3D3B"/>
    <w:rsid w:val="002E04FC"/>
    <w:rsid w:val="002E13D7"/>
    <w:rsid w:val="002E236F"/>
    <w:rsid w:val="002E61E3"/>
    <w:rsid w:val="002F02DA"/>
    <w:rsid w:val="00305BE0"/>
    <w:rsid w:val="00306BC6"/>
    <w:rsid w:val="00322891"/>
    <w:rsid w:val="0032403B"/>
    <w:rsid w:val="00332310"/>
    <w:rsid w:val="00332B90"/>
    <w:rsid w:val="00336136"/>
    <w:rsid w:val="00351CE0"/>
    <w:rsid w:val="00353753"/>
    <w:rsid w:val="0036207B"/>
    <w:rsid w:val="003675D9"/>
    <w:rsid w:val="0037634C"/>
    <w:rsid w:val="0038206E"/>
    <w:rsid w:val="00383699"/>
    <w:rsid w:val="0038479C"/>
    <w:rsid w:val="00385554"/>
    <w:rsid w:val="00390F84"/>
    <w:rsid w:val="00391B7D"/>
    <w:rsid w:val="003A4211"/>
    <w:rsid w:val="003A5532"/>
    <w:rsid w:val="003A66F9"/>
    <w:rsid w:val="003B1302"/>
    <w:rsid w:val="003B173D"/>
    <w:rsid w:val="003B4AB3"/>
    <w:rsid w:val="003C6912"/>
    <w:rsid w:val="003D315C"/>
    <w:rsid w:val="003D4186"/>
    <w:rsid w:val="003E20EE"/>
    <w:rsid w:val="003E42BB"/>
    <w:rsid w:val="003E5715"/>
    <w:rsid w:val="003F3CC1"/>
    <w:rsid w:val="003F64DF"/>
    <w:rsid w:val="00400059"/>
    <w:rsid w:val="00404481"/>
    <w:rsid w:val="00406747"/>
    <w:rsid w:val="004148C5"/>
    <w:rsid w:val="0042308F"/>
    <w:rsid w:val="0042586B"/>
    <w:rsid w:val="00425BCB"/>
    <w:rsid w:val="0042666F"/>
    <w:rsid w:val="00442676"/>
    <w:rsid w:val="00454A45"/>
    <w:rsid w:val="004618F3"/>
    <w:rsid w:val="004630E0"/>
    <w:rsid w:val="00485D83"/>
    <w:rsid w:val="00496EAF"/>
    <w:rsid w:val="004A125C"/>
    <w:rsid w:val="004B3986"/>
    <w:rsid w:val="004C0530"/>
    <w:rsid w:val="004C1AC4"/>
    <w:rsid w:val="004C3456"/>
    <w:rsid w:val="004D2FC7"/>
    <w:rsid w:val="004D3005"/>
    <w:rsid w:val="004E162C"/>
    <w:rsid w:val="004E40DE"/>
    <w:rsid w:val="00510688"/>
    <w:rsid w:val="00514EAF"/>
    <w:rsid w:val="0052145E"/>
    <w:rsid w:val="00527754"/>
    <w:rsid w:val="00542167"/>
    <w:rsid w:val="00542E59"/>
    <w:rsid w:val="0054350E"/>
    <w:rsid w:val="00546253"/>
    <w:rsid w:val="005559D4"/>
    <w:rsid w:val="00563BC6"/>
    <w:rsid w:val="00565EBA"/>
    <w:rsid w:val="0057780F"/>
    <w:rsid w:val="00586752"/>
    <w:rsid w:val="0059416B"/>
    <w:rsid w:val="005975FD"/>
    <w:rsid w:val="005A1881"/>
    <w:rsid w:val="005B302C"/>
    <w:rsid w:val="005C0921"/>
    <w:rsid w:val="005C1834"/>
    <w:rsid w:val="005C2553"/>
    <w:rsid w:val="005C4B80"/>
    <w:rsid w:val="005C6890"/>
    <w:rsid w:val="005E734A"/>
    <w:rsid w:val="005F1396"/>
    <w:rsid w:val="005F3A05"/>
    <w:rsid w:val="005F7BE1"/>
    <w:rsid w:val="00601689"/>
    <w:rsid w:val="00607674"/>
    <w:rsid w:val="006151BA"/>
    <w:rsid w:val="00632D8A"/>
    <w:rsid w:val="006425A2"/>
    <w:rsid w:val="00652517"/>
    <w:rsid w:val="006619E4"/>
    <w:rsid w:val="00663B36"/>
    <w:rsid w:val="0067781A"/>
    <w:rsid w:val="00684B56"/>
    <w:rsid w:val="00696B11"/>
    <w:rsid w:val="006A627F"/>
    <w:rsid w:val="006A62A0"/>
    <w:rsid w:val="006A6614"/>
    <w:rsid w:val="006B4E1B"/>
    <w:rsid w:val="006C6D43"/>
    <w:rsid w:val="006D59CF"/>
    <w:rsid w:val="006E395B"/>
    <w:rsid w:val="006F06F7"/>
    <w:rsid w:val="006F19E8"/>
    <w:rsid w:val="006F229B"/>
    <w:rsid w:val="006F3D9E"/>
    <w:rsid w:val="007003C6"/>
    <w:rsid w:val="00716633"/>
    <w:rsid w:val="00720247"/>
    <w:rsid w:val="007217E7"/>
    <w:rsid w:val="0073469F"/>
    <w:rsid w:val="007436B1"/>
    <w:rsid w:val="00744872"/>
    <w:rsid w:val="00745FA0"/>
    <w:rsid w:val="00760F97"/>
    <w:rsid w:val="007646AC"/>
    <w:rsid w:val="00766CF9"/>
    <w:rsid w:val="0077647D"/>
    <w:rsid w:val="0078119A"/>
    <w:rsid w:val="007817A7"/>
    <w:rsid w:val="00784E58"/>
    <w:rsid w:val="00792868"/>
    <w:rsid w:val="0079793A"/>
    <w:rsid w:val="00797C0C"/>
    <w:rsid w:val="007A6B94"/>
    <w:rsid w:val="007C33F0"/>
    <w:rsid w:val="007C4EBD"/>
    <w:rsid w:val="007C5974"/>
    <w:rsid w:val="007D0E20"/>
    <w:rsid w:val="007D1F77"/>
    <w:rsid w:val="007D660D"/>
    <w:rsid w:val="007E7797"/>
    <w:rsid w:val="00813248"/>
    <w:rsid w:val="00820C4E"/>
    <w:rsid w:val="008361E7"/>
    <w:rsid w:val="0084322D"/>
    <w:rsid w:val="00845B0E"/>
    <w:rsid w:val="0085363F"/>
    <w:rsid w:val="00877BB9"/>
    <w:rsid w:val="00877CD1"/>
    <w:rsid w:val="00885BDF"/>
    <w:rsid w:val="0089108D"/>
    <w:rsid w:val="008A6416"/>
    <w:rsid w:val="008A6EDA"/>
    <w:rsid w:val="008B463D"/>
    <w:rsid w:val="008B684A"/>
    <w:rsid w:val="008C0930"/>
    <w:rsid w:val="008D7140"/>
    <w:rsid w:val="008E1595"/>
    <w:rsid w:val="008E24E2"/>
    <w:rsid w:val="008E42C4"/>
    <w:rsid w:val="008F1617"/>
    <w:rsid w:val="008F2296"/>
    <w:rsid w:val="008F34F7"/>
    <w:rsid w:val="008F5C28"/>
    <w:rsid w:val="008F6A7B"/>
    <w:rsid w:val="009048F7"/>
    <w:rsid w:val="00905F3F"/>
    <w:rsid w:val="00915BD2"/>
    <w:rsid w:val="00916713"/>
    <w:rsid w:val="009174BA"/>
    <w:rsid w:val="00924DDA"/>
    <w:rsid w:val="00925BA9"/>
    <w:rsid w:val="00937D3C"/>
    <w:rsid w:val="00942DB2"/>
    <w:rsid w:val="00950630"/>
    <w:rsid w:val="00950FEA"/>
    <w:rsid w:val="00966D88"/>
    <w:rsid w:val="0096787A"/>
    <w:rsid w:val="00967B80"/>
    <w:rsid w:val="0097054C"/>
    <w:rsid w:val="0097440F"/>
    <w:rsid w:val="0098078C"/>
    <w:rsid w:val="009813D9"/>
    <w:rsid w:val="009870FB"/>
    <w:rsid w:val="009953C7"/>
    <w:rsid w:val="009A331E"/>
    <w:rsid w:val="009A5E6F"/>
    <w:rsid w:val="009C1860"/>
    <w:rsid w:val="009C275A"/>
    <w:rsid w:val="009C5567"/>
    <w:rsid w:val="009D230F"/>
    <w:rsid w:val="009D6963"/>
    <w:rsid w:val="009D7E7B"/>
    <w:rsid w:val="009E1333"/>
    <w:rsid w:val="009E3D16"/>
    <w:rsid w:val="00A02624"/>
    <w:rsid w:val="00A06F92"/>
    <w:rsid w:val="00A15131"/>
    <w:rsid w:val="00A15C1A"/>
    <w:rsid w:val="00A2053C"/>
    <w:rsid w:val="00A2576E"/>
    <w:rsid w:val="00A33234"/>
    <w:rsid w:val="00A512B0"/>
    <w:rsid w:val="00A52E12"/>
    <w:rsid w:val="00A57EE4"/>
    <w:rsid w:val="00A63353"/>
    <w:rsid w:val="00A63806"/>
    <w:rsid w:val="00A63DD3"/>
    <w:rsid w:val="00A740EE"/>
    <w:rsid w:val="00A9340B"/>
    <w:rsid w:val="00A93D15"/>
    <w:rsid w:val="00A94866"/>
    <w:rsid w:val="00AA242A"/>
    <w:rsid w:val="00AA4597"/>
    <w:rsid w:val="00AB2262"/>
    <w:rsid w:val="00AB5180"/>
    <w:rsid w:val="00AB5963"/>
    <w:rsid w:val="00AC4BAB"/>
    <w:rsid w:val="00AC5C6C"/>
    <w:rsid w:val="00AC6A41"/>
    <w:rsid w:val="00AC7C50"/>
    <w:rsid w:val="00AD2597"/>
    <w:rsid w:val="00AD3550"/>
    <w:rsid w:val="00AE19BF"/>
    <w:rsid w:val="00AE4135"/>
    <w:rsid w:val="00AE77B7"/>
    <w:rsid w:val="00AF4DD1"/>
    <w:rsid w:val="00B05CA7"/>
    <w:rsid w:val="00B07D44"/>
    <w:rsid w:val="00B120F9"/>
    <w:rsid w:val="00B16691"/>
    <w:rsid w:val="00B2162B"/>
    <w:rsid w:val="00B34D0F"/>
    <w:rsid w:val="00B36569"/>
    <w:rsid w:val="00B4086B"/>
    <w:rsid w:val="00B42753"/>
    <w:rsid w:val="00B45A5F"/>
    <w:rsid w:val="00B47FAA"/>
    <w:rsid w:val="00B714EE"/>
    <w:rsid w:val="00B7509F"/>
    <w:rsid w:val="00B950F0"/>
    <w:rsid w:val="00BA3D8A"/>
    <w:rsid w:val="00BB7536"/>
    <w:rsid w:val="00BB7554"/>
    <w:rsid w:val="00BC011A"/>
    <w:rsid w:val="00BD2A0A"/>
    <w:rsid w:val="00BD5331"/>
    <w:rsid w:val="00BD558D"/>
    <w:rsid w:val="00BD7338"/>
    <w:rsid w:val="00BF60EF"/>
    <w:rsid w:val="00C017D3"/>
    <w:rsid w:val="00C02553"/>
    <w:rsid w:val="00C10EC8"/>
    <w:rsid w:val="00C23C6E"/>
    <w:rsid w:val="00C23DBA"/>
    <w:rsid w:val="00C328B8"/>
    <w:rsid w:val="00C632AC"/>
    <w:rsid w:val="00C870A5"/>
    <w:rsid w:val="00C87DD2"/>
    <w:rsid w:val="00C93C14"/>
    <w:rsid w:val="00C96FC3"/>
    <w:rsid w:val="00CA07B3"/>
    <w:rsid w:val="00CA2E76"/>
    <w:rsid w:val="00CD19F6"/>
    <w:rsid w:val="00CD5F08"/>
    <w:rsid w:val="00CE36CA"/>
    <w:rsid w:val="00CE549A"/>
    <w:rsid w:val="00CF4DDE"/>
    <w:rsid w:val="00CF6C4F"/>
    <w:rsid w:val="00D14352"/>
    <w:rsid w:val="00D21FFD"/>
    <w:rsid w:val="00D34156"/>
    <w:rsid w:val="00D4242A"/>
    <w:rsid w:val="00D451B3"/>
    <w:rsid w:val="00D45E2E"/>
    <w:rsid w:val="00D61E5A"/>
    <w:rsid w:val="00D82BCD"/>
    <w:rsid w:val="00D84704"/>
    <w:rsid w:val="00D855A3"/>
    <w:rsid w:val="00D85C9D"/>
    <w:rsid w:val="00D86EC5"/>
    <w:rsid w:val="00D96697"/>
    <w:rsid w:val="00D966FD"/>
    <w:rsid w:val="00D97B33"/>
    <w:rsid w:val="00DA1C6F"/>
    <w:rsid w:val="00DA2214"/>
    <w:rsid w:val="00DA2AE6"/>
    <w:rsid w:val="00DA46B5"/>
    <w:rsid w:val="00DB7EF6"/>
    <w:rsid w:val="00DC3003"/>
    <w:rsid w:val="00DC4F61"/>
    <w:rsid w:val="00DC5604"/>
    <w:rsid w:val="00DC5B0D"/>
    <w:rsid w:val="00DF0CC7"/>
    <w:rsid w:val="00DF1236"/>
    <w:rsid w:val="00DF6446"/>
    <w:rsid w:val="00DF7A65"/>
    <w:rsid w:val="00E017FC"/>
    <w:rsid w:val="00E03831"/>
    <w:rsid w:val="00E058B3"/>
    <w:rsid w:val="00E34077"/>
    <w:rsid w:val="00E35CCE"/>
    <w:rsid w:val="00E414A5"/>
    <w:rsid w:val="00E45A8F"/>
    <w:rsid w:val="00E5737B"/>
    <w:rsid w:val="00E57AA4"/>
    <w:rsid w:val="00E604E3"/>
    <w:rsid w:val="00E63746"/>
    <w:rsid w:val="00E711DD"/>
    <w:rsid w:val="00E97E05"/>
    <w:rsid w:val="00EC6BB7"/>
    <w:rsid w:val="00ED0823"/>
    <w:rsid w:val="00ED7BDA"/>
    <w:rsid w:val="00EE6240"/>
    <w:rsid w:val="00EF0D09"/>
    <w:rsid w:val="00F045EA"/>
    <w:rsid w:val="00F173E3"/>
    <w:rsid w:val="00F24585"/>
    <w:rsid w:val="00F2491F"/>
    <w:rsid w:val="00F24E2A"/>
    <w:rsid w:val="00F3406C"/>
    <w:rsid w:val="00F4055E"/>
    <w:rsid w:val="00F41931"/>
    <w:rsid w:val="00F4733B"/>
    <w:rsid w:val="00F47671"/>
    <w:rsid w:val="00F54FC8"/>
    <w:rsid w:val="00F6149C"/>
    <w:rsid w:val="00F65C68"/>
    <w:rsid w:val="00F669F4"/>
    <w:rsid w:val="00F75A83"/>
    <w:rsid w:val="00F90935"/>
    <w:rsid w:val="00F94BE3"/>
    <w:rsid w:val="00F95109"/>
    <w:rsid w:val="00F96DCD"/>
    <w:rsid w:val="00FA4798"/>
    <w:rsid w:val="00FA75F0"/>
    <w:rsid w:val="00FB1F10"/>
    <w:rsid w:val="00FB6EA0"/>
    <w:rsid w:val="00FC2205"/>
    <w:rsid w:val="00FC2552"/>
    <w:rsid w:val="00FC4A20"/>
    <w:rsid w:val="00FD0416"/>
    <w:rsid w:val="00FE0902"/>
    <w:rsid w:val="00FE6AB6"/>
    <w:rsid w:val="00FF1BE2"/>
    <w:rsid w:val="00FF5167"/>
    <w:rsid w:val="00FF63E2"/>
    <w:rsid w:val="1F0C7A33"/>
    <w:rsid w:val="34C206D5"/>
    <w:rsid w:val="4CFF4E85"/>
    <w:rsid w:val="67560460"/>
    <w:rsid w:val="7E9E1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lang w:val="en-US" w:eastAsia="en-US" w:bidi="ar-SA"/>
    </w:rPr>
  </w:style>
  <w:style w:type="paragraph" w:styleId="3">
    <w:name w:val="heading 1"/>
    <w:basedOn w:val="1"/>
    <w:next w:val="1"/>
    <w:link w:val="20"/>
    <w:qFormat/>
    <w:uiPriority w:val="0"/>
    <w:pPr>
      <w:keepNext/>
      <w:keepLines/>
      <w:ind w:left="568" w:hanging="568"/>
      <w:outlineLvl w:val="0"/>
    </w:pPr>
    <w:rPr>
      <w:rFonts w:eastAsia="PMingLiU"/>
      <w:b/>
      <w:color w:val="000000"/>
      <w:sz w:val="20"/>
      <w:lang w:val="en-GB"/>
    </w:rPr>
  </w:style>
  <w:style w:type="paragraph" w:styleId="4">
    <w:name w:val="heading 2"/>
    <w:basedOn w:val="1"/>
    <w:next w:val="1"/>
    <w:link w:val="21"/>
    <w:qFormat/>
    <w:uiPriority w:val="0"/>
    <w:pPr>
      <w:keepNext/>
      <w:keepLines/>
      <w:ind w:left="480" w:hanging="480"/>
      <w:jc w:val="both"/>
      <w:outlineLvl w:val="1"/>
    </w:pPr>
    <w:rPr>
      <w:b/>
      <w:sz w:val="22"/>
      <w:szCs w:val="22"/>
      <w:lang w:val="en-GB"/>
    </w:rPr>
  </w:style>
  <w:style w:type="paragraph" w:styleId="5">
    <w:name w:val="heading 3"/>
    <w:basedOn w:val="1"/>
    <w:next w:val="1"/>
    <w:link w:val="29"/>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uiPriority w:val="1"/>
  </w:style>
  <w:style w:type="table" w:default="1" w:styleId="1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31"/>
    <w:unhideWhenUsed/>
    <w:uiPriority w:val="99"/>
  </w:style>
  <w:style w:type="paragraph" w:styleId="6">
    <w:name w:val="annotation subject"/>
    <w:basedOn w:val="2"/>
    <w:next w:val="2"/>
    <w:link w:val="32"/>
    <w:semiHidden/>
    <w:unhideWhenUsed/>
    <w:qFormat/>
    <w:uiPriority w:val="99"/>
    <w:rPr>
      <w:b/>
      <w:bCs/>
    </w:rPr>
  </w:style>
  <w:style w:type="paragraph" w:styleId="7">
    <w:name w:val="Document Map"/>
    <w:basedOn w:val="1"/>
    <w:link w:val="28"/>
    <w:semiHidden/>
    <w:unhideWhenUsed/>
    <w:qFormat/>
    <w:uiPriority w:val="99"/>
    <w:rPr>
      <w:rFonts w:ascii="宋体"/>
      <w:sz w:val="18"/>
      <w:szCs w:val="18"/>
    </w:rPr>
  </w:style>
  <w:style w:type="paragraph" w:styleId="8">
    <w:name w:val="Body Text"/>
    <w:basedOn w:val="1"/>
    <w:link w:val="22"/>
    <w:qFormat/>
    <w:uiPriority w:val="0"/>
    <w:pPr>
      <w:widowControl w:val="0"/>
      <w:jc w:val="both"/>
    </w:pPr>
    <w:rPr>
      <w:rFonts w:eastAsia="PMingLiU"/>
      <w:sz w:val="20"/>
    </w:rPr>
  </w:style>
  <w:style w:type="paragraph" w:styleId="9">
    <w:name w:val="Balloon Text"/>
    <w:basedOn w:val="1"/>
    <w:link w:val="27"/>
    <w:semiHidden/>
    <w:unhideWhenUsed/>
    <w:qFormat/>
    <w:uiPriority w:val="99"/>
    <w:rPr>
      <w:sz w:val="18"/>
      <w:szCs w:val="18"/>
    </w:rPr>
  </w:style>
  <w:style w:type="paragraph" w:styleId="10">
    <w:name w:val="footer"/>
    <w:basedOn w:val="1"/>
    <w:link w:val="23"/>
    <w:qFormat/>
    <w:uiPriority w:val="99"/>
    <w:pPr>
      <w:keepLines/>
      <w:tabs>
        <w:tab w:val="right" w:pos="9072"/>
      </w:tabs>
    </w:pPr>
    <w:rPr>
      <w:rFonts w:eastAsia="PMingLiU"/>
      <w:i/>
      <w:color w:val="000000"/>
      <w:sz w:val="16"/>
      <w:lang w:val="en-GB"/>
    </w:rPr>
  </w:style>
  <w:style w:type="paragraph" w:styleId="11">
    <w:name w:val="header"/>
    <w:basedOn w:val="1"/>
    <w:link w:val="24"/>
    <w:qFormat/>
    <w:uiPriority w:val="99"/>
    <w:pPr>
      <w:tabs>
        <w:tab w:val="center" w:pos="4320"/>
        <w:tab w:val="right" w:pos="8640"/>
      </w:tabs>
    </w:pPr>
  </w:style>
  <w:style w:type="paragraph" w:styleId="12">
    <w:name w:val="toc 1"/>
    <w:basedOn w:val="1"/>
    <w:next w:val="1"/>
    <w:qFormat/>
    <w:uiPriority w:val="39"/>
    <w:pPr>
      <w:spacing w:before="120" w:after="120"/>
    </w:pPr>
    <w:rPr>
      <w:rFonts w:ascii="Calibri" w:hAnsi="Calibri"/>
      <w:b/>
      <w:caps/>
      <w:sz w:val="22"/>
    </w:rPr>
  </w:style>
  <w:style w:type="paragraph" w:styleId="13">
    <w:name w:val="toc 2"/>
    <w:basedOn w:val="1"/>
    <w:next w:val="1"/>
    <w:qFormat/>
    <w:uiPriority w:val="39"/>
    <w:pPr>
      <w:ind w:left="240"/>
    </w:pPr>
    <w:rPr>
      <w:rFonts w:ascii="Calibri" w:hAnsi="Calibri"/>
      <w:smallCaps/>
      <w:sz w:val="22"/>
    </w:rPr>
  </w:style>
  <w:style w:type="paragraph" w:styleId="14">
    <w:name w:val="Title"/>
    <w:basedOn w:val="1"/>
    <w:next w:val="1"/>
    <w:link w:val="25"/>
    <w:qFormat/>
    <w:uiPriority w:val="0"/>
    <w:pPr>
      <w:spacing w:before="240" w:after="60"/>
      <w:jc w:val="center"/>
      <w:outlineLvl w:val="0"/>
    </w:pPr>
    <w:rPr>
      <w:rFonts w:ascii="Cambria" w:hAnsi="Cambria"/>
      <w:b/>
      <w:sz w:val="32"/>
    </w:rPr>
  </w:style>
  <w:style w:type="character" w:styleId="16">
    <w:name w:val="Hyperlink"/>
    <w:qFormat/>
    <w:uiPriority w:val="99"/>
    <w:rPr>
      <w:color w:val="0000FF"/>
      <w:u w:val="single"/>
    </w:rPr>
  </w:style>
  <w:style w:type="character" w:styleId="17">
    <w:name w:val="annotation reference"/>
    <w:basedOn w:val="15"/>
    <w:semiHidden/>
    <w:unhideWhenUsed/>
    <w:qFormat/>
    <w:uiPriority w:val="99"/>
    <w:rPr>
      <w:sz w:val="21"/>
      <w:szCs w:val="21"/>
    </w:rPr>
  </w:style>
  <w:style w:type="table" w:styleId="19">
    <w:name w:val="Table Grid"/>
    <w:basedOn w:val="18"/>
    <w:qFormat/>
    <w:uiPriority w:val="59"/>
    <w:pPr>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0">
    <w:name w:val="标题 1 字符"/>
    <w:basedOn w:val="15"/>
    <w:link w:val="3"/>
    <w:qFormat/>
    <w:uiPriority w:val="0"/>
    <w:rPr>
      <w:rFonts w:ascii="Times New Roman" w:hAnsi="Times New Roman" w:eastAsia="PMingLiU" w:cs="Times New Roman"/>
      <w:b/>
      <w:color w:val="000000"/>
      <w:kern w:val="0"/>
      <w:sz w:val="20"/>
      <w:szCs w:val="20"/>
      <w:lang w:val="en-GB" w:eastAsia="en-US"/>
    </w:rPr>
  </w:style>
  <w:style w:type="character" w:customStyle="1" w:styleId="21">
    <w:name w:val="标题 2 字符"/>
    <w:basedOn w:val="15"/>
    <w:link w:val="4"/>
    <w:qFormat/>
    <w:uiPriority w:val="0"/>
    <w:rPr>
      <w:rFonts w:ascii="Times New Roman" w:hAnsi="Times New Roman" w:eastAsia="宋体" w:cs="Times New Roman"/>
      <w:b/>
      <w:kern w:val="0"/>
      <w:sz w:val="22"/>
      <w:lang w:val="en-GB" w:eastAsia="en-US"/>
    </w:rPr>
  </w:style>
  <w:style w:type="character" w:customStyle="1" w:styleId="22">
    <w:name w:val="正文文本 字符"/>
    <w:basedOn w:val="15"/>
    <w:link w:val="8"/>
    <w:qFormat/>
    <w:uiPriority w:val="0"/>
    <w:rPr>
      <w:rFonts w:ascii="Times New Roman" w:hAnsi="Times New Roman" w:eastAsia="PMingLiU" w:cs="Times New Roman"/>
      <w:kern w:val="0"/>
      <w:sz w:val="20"/>
      <w:szCs w:val="20"/>
      <w:lang w:eastAsia="en-US"/>
    </w:rPr>
  </w:style>
  <w:style w:type="character" w:customStyle="1" w:styleId="23">
    <w:name w:val="页脚 字符"/>
    <w:basedOn w:val="15"/>
    <w:link w:val="10"/>
    <w:qFormat/>
    <w:uiPriority w:val="99"/>
    <w:rPr>
      <w:rFonts w:ascii="Times New Roman" w:hAnsi="Times New Roman" w:eastAsia="PMingLiU" w:cs="Times New Roman"/>
      <w:i/>
      <w:color w:val="000000"/>
      <w:kern w:val="0"/>
      <w:sz w:val="16"/>
      <w:szCs w:val="20"/>
      <w:lang w:val="en-GB" w:eastAsia="en-US"/>
    </w:rPr>
  </w:style>
  <w:style w:type="character" w:customStyle="1" w:styleId="24">
    <w:name w:val="页眉 字符"/>
    <w:basedOn w:val="15"/>
    <w:link w:val="11"/>
    <w:qFormat/>
    <w:uiPriority w:val="99"/>
    <w:rPr>
      <w:rFonts w:ascii="Times New Roman" w:hAnsi="Times New Roman" w:eastAsia="宋体" w:cs="Times New Roman"/>
      <w:kern w:val="0"/>
      <w:sz w:val="24"/>
      <w:szCs w:val="20"/>
      <w:lang w:eastAsia="en-US"/>
    </w:rPr>
  </w:style>
  <w:style w:type="character" w:customStyle="1" w:styleId="25">
    <w:name w:val="标题 字符"/>
    <w:basedOn w:val="15"/>
    <w:link w:val="14"/>
    <w:qFormat/>
    <w:uiPriority w:val="0"/>
    <w:rPr>
      <w:rFonts w:ascii="Cambria" w:hAnsi="Cambria" w:eastAsia="宋体" w:cs="Times New Roman"/>
      <w:b/>
      <w:kern w:val="0"/>
      <w:sz w:val="32"/>
      <w:szCs w:val="20"/>
      <w:lang w:eastAsia="en-US"/>
    </w:rPr>
  </w:style>
  <w:style w:type="paragraph" w:styleId="26">
    <w:name w:val="List Paragraph"/>
    <w:basedOn w:val="1"/>
    <w:qFormat/>
    <w:uiPriority w:val="34"/>
    <w:pPr>
      <w:ind w:firstLine="420" w:firstLineChars="200"/>
    </w:pPr>
  </w:style>
  <w:style w:type="character" w:customStyle="1" w:styleId="27">
    <w:name w:val="批注框文本 字符"/>
    <w:basedOn w:val="15"/>
    <w:link w:val="9"/>
    <w:semiHidden/>
    <w:uiPriority w:val="99"/>
    <w:rPr>
      <w:rFonts w:ascii="Times New Roman" w:hAnsi="Times New Roman" w:eastAsia="宋体" w:cs="Times New Roman"/>
      <w:kern w:val="0"/>
      <w:sz w:val="18"/>
      <w:szCs w:val="18"/>
      <w:lang w:eastAsia="en-US"/>
    </w:rPr>
  </w:style>
  <w:style w:type="character" w:customStyle="1" w:styleId="28">
    <w:name w:val="文档结构图 字符"/>
    <w:basedOn w:val="15"/>
    <w:link w:val="7"/>
    <w:semiHidden/>
    <w:qFormat/>
    <w:uiPriority w:val="99"/>
    <w:rPr>
      <w:rFonts w:ascii="宋体" w:hAnsi="Times New Roman" w:eastAsia="宋体" w:cs="Times New Roman"/>
      <w:kern w:val="0"/>
      <w:sz w:val="18"/>
      <w:szCs w:val="18"/>
      <w:lang w:eastAsia="en-US"/>
    </w:rPr>
  </w:style>
  <w:style w:type="character" w:customStyle="1" w:styleId="29">
    <w:name w:val="标题 3 字符"/>
    <w:basedOn w:val="15"/>
    <w:link w:val="5"/>
    <w:semiHidden/>
    <w:qFormat/>
    <w:uiPriority w:val="9"/>
    <w:rPr>
      <w:rFonts w:ascii="Times New Roman" w:hAnsi="Times New Roman" w:eastAsia="宋体" w:cs="Times New Roman"/>
      <w:b/>
      <w:bCs/>
      <w:kern w:val="0"/>
      <w:sz w:val="32"/>
      <w:szCs w:val="32"/>
      <w:lang w:eastAsia="en-US"/>
    </w:rPr>
  </w:style>
  <w:style w:type="character" w:customStyle="1" w:styleId="30">
    <w:name w:val="占位符文本1"/>
    <w:qFormat/>
    <w:uiPriority w:val="99"/>
    <w:rPr>
      <w:rFonts w:ascii="Verdana" w:hAnsi="Verdana" w:eastAsia="宋体"/>
      <w:color w:val="808080"/>
      <w:sz w:val="21"/>
      <w:lang w:val="en-US" w:eastAsia="en-US" w:bidi="ar-SA"/>
    </w:rPr>
  </w:style>
  <w:style w:type="character" w:customStyle="1" w:styleId="31">
    <w:name w:val="批注文字 字符"/>
    <w:basedOn w:val="15"/>
    <w:link w:val="2"/>
    <w:uiPriority w:val="99"/>
    <w:rPr>
      <w:rFonts w:ascii="Times New Roman" w:hAnsi="Times New Roman" w:eastAsia="宋体" w:cs="Times New Roman"/>
      <w:kern w:val="0"/>
      <w:sz w:val="24"/>
      <w:szCs w:val="20"/>
      <w:lang w:eastAsia="en-US"/>
    </w:rPr>
  </w:style>
  <w:style w:type="character" w:customStyle="1" w:styleId="32">
    <w:name w:val="批注主题 字符"/>
    <w:basedOn w:val="31"/>
    <w:link w:val="6"/>
    <w:semiHidden/>
    <w:qFormat/>
    <w:uiPriority w:val="99"/>
    <w:rPr>
      <w:rFonts w:ascii="Times New Roman" w:hAnsi="Times New Roman" w:eastAsia="宋体" w:cs="Times New Roman"/>
      <w:b/>
      <w:bCs/>
      <w:kern w:val="0"/>
      <w:sz w:val="24"/>
      <w:szCs w:val="20"/>
      <w:lang w:eastAsia="en-US"/>
    </w:rPr>
  </w:style>
  <w:style w:type="paragraph" w:customStyle="1" w:styleId="33">
    <w:name w:val="Default"/>
    <w:qFormat/>
    <w:uiPriority w:val="0"/>
    <w:pPr>
      <w:widowControl w:val="0"/>
      <w:autoSpaceDE w:val="0"/>
      <w:autoSpaceDN w:val="0"/>
      <w:adjustRightInd w:val="0"/>
    </w:pPr>
    <w:rPr>
      <w:rFonts w:ascii="Hiragino Sans GB W6" w:eastAsia="Hiragino Sans GB W6" w:cs="Hiragino Sans GB W6" w:hAnsiTheme="minorHAnsi"/>
      <w:color w:val="000000"/>
      <w:sz w:val="24"/>
      <w:szCs w:val="24"/>
      <w:lang w:val="en-US" w:eastAsia="zh-CN" w:bidi="ar-SA"/>
    </w:rPr>
  </w:style>
  <w:style w:type="paragraph" w:customStyle="1" w:styleId="34">
    <w:name w:val="Pa0+2"/>
    <w:basedOn w:val="33"/>
    <w:next w:val="33"/>
    <w:qFormat/>
    <w:uiPriority w:val="99"/>
    <w:pPr>
      <w:spacing w:line="241" w:lineRule="atLeast"/>
    </w:pPr>
    <w:rPr>
      <w:rFonts w:cstheme="minorBidi"/>
      <w:color w:val="auto"/>
    </w:rPr>
  </w:style>
  <w:style w:type="character" w:customStyle="1" w:styleId="35">
    <w:name w:val="A0+2"/>
    <w:qFormat/>
    <w:uiPriority w:val="99"/>
    <w:rPr>
      <w:rFonts w:cs="Hiragino Sans GB W6"/>
      <w:b/>
      <w:bCs/>
      <w:color w:val="6C6E70"/>
      <w:sz w:val="48"/>
      <w:szCs w:val="48"/>
    </w:rPr>
  </w:style>
  <w:style w:type="paragraph" w:customStyle="1" w:styleId="36">
    <w:name w:val="修订1"/>
    <w:hidden/>
    <w:semiHidden/>
    <w:qFormat/>
    <w:uiPriority w:val="99"/>
    <w:rPr>
      <w:rFonts w:ascii="Times New Roman" w:hAnsi="Times New Roman" w:eastAsia="宋体" w:cs="Times New Roman"/>
      <w:sz w:val="24"/>
      <w:lang w:val="en-US" w:eastAsia="en-US" w:bidi="ar-SA"/>
    </w:rPr>
  </w:style>
  <w:style w:type="character" w:customStyle="1" w:styleId="37">
    <w:name w:val="正文文本 Char"/>
    <w:basedOn w:val="15"/>
    <w:uiPriority w:val="0"/>
    <w:rPr>
      <w:rFonts w:eastAsia="PMingLiU"/>
      <w:lang w:eastAsia="en-US"/>
    </w:rPr>
  </w:style>
  <w:style w:type="paragraph" w:customStyle="1" w:styleId="38">
    <w:name w:val="Revision"/>
    <w:hidden/>
    <w:unhideWhenUsed/>
    <w:qFormat/>
    <w:uiPriority w:val="99"/>
    <w:rPr>
      <w:rFonts w:ascii="Times New Roman" w:hAnsi="Times New Roman" w:eastAsia="宋体" w:cs="Times New Roman"/>
      <w:sz w:val="24"/>
      <w:lang w:val="en-US" w:eastAsia="en-US" w:bidi="ar-SA"/>
    </w:rPr>
  </w:style>
  <w:style w:type="character" w:customStyle="1" w:styleId="39">
    <w:name w:val="标题 字符2"/>
    <w:qFormat/>
    <w:uiPriority w:val="0"/>
    <w:rPr>
      <w:rFonts w:ascii="Cambria" w:hAnsi="Cambria"/>
      <w:b/>
      <w:sz w:val="32"/>
      <w:lang w:eastAsia="en-US"/>
    </w:rPr>
  </w:style>
  <w:style w:type="paragraph" w:customStyle="1" w:styleId="40">
    <w:name w:val="列出段落"/>
    <w:basedOn w:val="1"/>
    <w:qFormat/>
    <w:uiPriority w:val="34"/>
    <w:pPr>
      <w:ind w:firstLine="420" w:firstLineChars="200"/>
    </w:pPr>
  </w:style>
  <w:style w:type="character" w:customStyle="1" w:styleId="41">
    <w:name w:val="正文文本 字符1"/>
    <w:qFormat/>
    <w:uiPriority w:val="0"/>
    <w:rPr>
      <w:rFonts w:eastAsia="PMingLiU"/>
      <w:lang w:eastAsia="en-US"/>
    </w:rPr>
  </w:style>
  <w:style w:type="character" w:customStyle="1" w:styleId="42">
    <w:name w:val="标题 2 字符1"/>
    <w:qFormat/>
    <w:uiPriority w:val="0"/>
    <w:rPr>
      <w:b/>
      <w:sz w:val="22"/>
      <w:szCs w:val="22"/>
      <w:lang w:val="en-GB"/>
    </w:rPr>
  </w:style>
  <w:style w:type="character" w:customStyle="1" w:styleId="43">
    <w:name w:val="标题 1 字符1"/>
    <w:qFormat/>
    <w:uiPriority w:val="0"/>
    <w:rPr>
      <w:rFonts w:eastAsia="PMingLiU"/>
      <w:b/>
      <w:color w:val="00000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77889-C5AA-4EAC-B865-184A58121B7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1731</Words>
  <Characters>9867</Characters>
  <Lines>82</Lines>
  <Paragraphs>23</Paragraphs>
  <TotalTime>0</TotalTime>
  <ScaleCrop>false</ScaleCrop>
  <LinksUpToDate>false</LinksUpToDate>
  <CharactersWithSpaces>11575</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2024-07-09T05:29:00Z</dcterms:created>
  <dc:creator>User</dc:creator>
  <cp:lastModifiedBy>x5036</cp:lastModifiedBy>
  <cp:lastPrinted>2023-08-16T04:23:00Z</cp:lastPrinted>
  <dcterms:modified xsi:type="dcterms:W3CDTF">2025-01-09T08:00:00Z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656CB8B545594DA49EA726F24A7DF924_13</vt:lpwstr>
  </property>
</Properties>
</file>